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2774D" w14:textId="77777777" w:rsidR="00E34D48" w:rsidRPr="003440AA" w:rsidRDefault="00E34D48" w:rsidP="00E34D48">
      <w:pPr>
        <w:rPr>
          <w:szCs w:val="24"/>
        </w:rPr>
      </w:pPr>
      <w:bookmarkStart w:id="0" w:name="_Hlk63943829"/>
    </w:p>
    <w:p w14:paraId="7CE79F2F" w14:textId="41DD9D96" w:rsidR="00E34D48" w:rsidRPr="003440AA" w:rsidRDefault="00E34D48" w:rsidP="00E34D48">
      <w:pPr>
        <w:ind w:left="1440" w:hanging="1440"/>
        <w:jc w:val="both"/>
        <w:rPr>
          <w:szCs w:val="24"/>
        </w:rPr>
      </w:pPr>
      <w:r w:rsidRPr="003440AA">
        <w:rPr>
          <w:b/>
          <w:bCs/>
          <w:szCs w:val="24"/>
        </w:rPr>
        <w:t xml:space="preserve">TO: </w:t>
      </w:r>
      <w:r w:rsidRPr="003440AA">
        <w:rPr>
          <w:b/>
          <w:bCs/>
          <w:szCs w:val="24"/>
        </w:rPr>
        <w:tab/>
      </w:r>
      <w:r w:rsidRPr="000E025E">
        <w:rPr>
          <w:szCs w:val="24"/>
        </w:rPr>
        <w:t xml:space="preserve">The Honorable </w:t>
      </w:r>
      <w:r w:rsidR="00733085" w:rsidRPr="000E025E">
        <w:rPr>
          <w:szCs w:val="24"/>
        </w:rPr>
        <w:t>Karl Rhoads</w:t>
      </w:r>
      <w:r w:rsidRPr="000E025E">
        <w:rPr>
          <w:szCs w:val="24"/>
        </w:rPr>
        <w:t xml:space="preserve">, Chair, The Honorable </w:t>
      </w:r>
      <w:r w:rsidR="000E025E" w:rsidRPr="000E025E">
        <w:rPr>
          <w:szCs w:val="24"/>
        </w:rPr>
        <w:t xml:space="preserve">Jarrett </w:t>
      </w:r>
      <w:proofErr w:type="spellStart"/>
      <w:r w:rsidR="000E025E" w:rsidRPr="000E025E">
        <w:rPr>
          <w:szCs w:val="24"/>
        </w:rPr>
        <w:t>Keohokalole</w:t>
      </w:r>
      <w:proofErr w:type="spellEnd"/>
      <w:r w:rsidRPr="000E025E">
        <w:rPr>
          <w:szCs w:val="24"/>
        </w:rPr>
        <w:t xml:space="preserve">, Vice Chair, and Honorable Members of the </w:t>
      </w:r>
      <w:r w:rsidR="000E025E" w:rsidRPr="000E025E">
        <w:rPr>
          <w:szCs w:val="24"/>
        </w:rPr>
        <w:t>Senate</w:t>
      </w:r>
      <w:r w:rsidR="000E025E">
        <w:rPr>
          <w:szCs w:val="24"/>
        </w:rPr>
        <w:t xml:space="preserve"> Committee on Judiciary</w:t>
      </w:r>
    </w:p>
    <w:p w14:paraId="5CD2CE0D" w14:textId="77777777" w:rsidR="00E34D48" w:rsidRPr="003440AA" w:rsidRDefault="00E34D48" w:rsidP="00E34D48">
      <w:pPr>
        <w:jc w:val="both"/>
        <w:rPr>
          <w:b/>
          <w:bCs/>
          <w:szCs w:val="24"/>
        </w:rPr>
      </w:pPr>
    </w:p>
    <w:p w14:paraId="1E37ABDB" w14:textId="77777777" w:rsidR="00E34D48" w:rsidRPr="003440AA" w:rsidRDefault="00E34D48" w:rsidP="00E34D48">
      <w:pPr>
        <w:ind w:left="1440" w:hanging="1440"/>
        <w:jc w:val="both"/>
        <w:rPr>
          <w:b/>
          <w:bCs/>
          <w:szCs w:val="24"/>
        </w:rPr>
      </w:pPr>
      <w:r w:rsidRPr="003440AA">
        <w:rPr>
          <w:b/>
          <w:bCs/>
          <w:szCs w:val="24"/>
        </w:rPr>
        <w:t xml:space="preserve">FROM: </w:t>
      </w:r>
      <w:r w:rsidRPr="003440AA">
        <w:rPr>
          <w:b/>
          <w:bCs/>
          <w:szCs w:val="24"/>
        </w:rPr>
        <w:tab/>
      </w:r>
      <w:r w:rsidRPr="003440AA">
        <w:rPr>
          <w:szCs w:val="24"/>
        </w:rPr>
        <w:t>Marci Hamilton, CEO &amp; Legal Director, CHILD USA; Robert A. Fox Professor of Practice, University of Pennsylvania and Kathryn Robb, Executive Director, CHILD USAdvocacy</w:t>
      </w:r>
    </w:p>
    <w:p w14:paraId="58C8AFF2" w14:textId="77777777" w:rsidR="00E34D48" w:rsidRPr="003440AA" w:rsidRDefault="00E34D48" w:rsidP="00E34D48">
      <w:pPr>
        <w:jc w:val="both"/>
        <w:rPr>
          <w:b/>
          <w:bCs/>
          <w:szCs w:val="24"/>
        </w:rPr>
      </w:pPr>
    </w:p>
    <w:p w14:paraId="2612CA61" w14:textId="49ADCCCE" w:rsidR="00E34D48" w:rsidRPr="003440AA" w:rsidRDefault="00E34D48" w:rsidP="00E34D48">
      <w:pPr>
        <w:ind w:left="1440" w:hanging="1440"/>
        <w:jc w:val="both"/>
        <w:rPr>
          <w:szCs w:val="24"/>
        </w:rPr>
      </w:pPr>
      <w:r w:rsidRPr="003440AA">
        <w:rPr>
          <w:b/>
          <w:bCs/>
          <w:szCs w:val="24"/>
        </w:rPr>
        <w:t xml:space="preserve">RE: </w:t>
      </w:r>
      <w:r w:rsidRPr="003440AA">
        <w:rPr>
          <w:b/>
          <w:bCs/>
          <w:szCs w:val="24"/>
        </w:rPr>
        <w:tab/>
      </w:r>
      <w:r w:rsidRPr="003440AA">
        <w:rPr>
          <w:szCs w:val="24"/>
        </w:rPr>
        <w:t xml:space="preserve">SB </w:t>
      </w:r>
      <w:r w:rsidR="00CC0974" w:rsidRPr="002F43F7">
        <w:rPr>
          <w:szCs w:val="24"/>
        </w:rPr>
        <w:t>48</w:t>
      </w:r>
      <w:r w:rsidRPr="002F43F7">
        <w:rPr>
          <w:szCs w:val="24"/>
        </w:rPr>
        <w:t xml:space="preserve">, </w:t>
      </w:r>
      <w:r w:rsidR="003054F3" w:rsidRPr="002F43F7">
        <w:rPr>
          <w:szCs w:val="24"/>
        </w:rPr>
        <w:t>regarding</w:t>
      </w:r>
      <w:r w:rsidRPr="002F43F7">
        <w:rPr>
          <w:szCs w:val="24"/>
        </w:rPr>
        <w:t xml:space="preserve"> child sex trafficking</w:t>
      </w:r>
    </w:p>
    <w:p w14:paraId="39EAC18E" w14:textId="77777777" w:rsidR="00E34D48" w:rsidRPr="003440AA" w:rsidRDefault="00E34D48" w:rsidP="00E34D48">
      <w:pPr>
        <w:jc w:val="both"/>
        <w:rPr>
          <w:b/>
          <w:bCs/>
          <w:szCs w:val="24"/>
        </w:rPr>
      </w:pPr>
      <w:r w:rsidRPr="003440AA">
        <w:rPr>
          <w:b/>
          <w:bCs/>
          <w:szCs w:val="24"/>
        </w:rPr>
        <w:tab/>
      </w:r>
      <w:r w:rsidRPr="003440AA">
        <w:rPr>
          <w:b/>
          <w:bCs/>
          <w:szCs w:val="24"/>
        </w:rPr>
        <w:tab/>
      </w:r>
    </w:p>
    <w:p w14:paraId="7E104803" w14:textId="29CAF7A4" w:rsidR="00E34D48" w:rsidRPr="003440AA" w:rsidRDefault="00E34D48" w:rsidP="00E34D48">
      <w:pPr>
        <w:jc w:val="both"/>
        <w:rPr>
          <w:szCs w:val="24"/>
        </w:rPr>
      </w:pPr>
      <w:r w:rsidRPr="003440AA">
        <w:rPr>
          <w:b/>
          <w:bCs/>
          <w:szCs w:val="24"/>
        </w:rPr>
        <w:t xml:space="preserve">DATE: </w:t>
      </w:r>
      <w:r w:rsidRPr="003440AA">
        <w:rPr>
          <w:b/>
          <w:bCs/>
          <w:szCs w:val="24"/>
        </w:rPr>
        <w:tab/>
      </w:r>
      <w:r w:rsidRPr="003440AA">
        <w:rPr>
          <w:szCs w:val="24"/>
        </w:rPr>
        <w:t xml:space="preserve">February </w:t>
      </w:r>
      <w:r w:rsidR="00F715F5">
        <w:rPr>
          <w:szCs w:val="24"/>
        </w:rPr>
        <w:t>22</w:t>
      </w:r>
      <w:r w:rsidRPr="003440AA">
        <w:rPr>
          <w:szCs w:val="24"/>
        </w:rPr>
        <w:t>, 2021</w:t>
      </w:r>
    </w:p>
    <w:p w14:paraId="51A79CB7" w14:textId="77777777" w:rsidR="00E34D48" w:rsidRPr="003440AA" w:rsidRDefault="00E34D48" w:rsidP="00E34D48">
      <w:pPr>
        <w:jc w:val="both"/>
        <w:rPr>
          <w:szCs w:val="24"/>
        </w:rPr>
      </w:pPr>
      <w:r w:rsidRPr="003440AA">
        <w:rPr>
          <w:noProof/>
          <w:szCs w:val="24"/>
        </w:rPr>
        <mc:AlternateContent>
          <mc:Choice Requires="wps">
            <w:drawing>
              <wp:anchor distT="0" distB="0" distL="114300" distR="114300" simplePos="0" relativeHeight="251659264" behindDoc="0" locked="0" layoutInCell="1" allowOverlap="1" wp14:anchorId="53186DDF" wp14:editId="6B3BEC76">
                <wp:simplePos x="0" y="0"/>
                <wp:positionH relativeFrom="column">
                  <wp:posOffset>6350</wp:posOffset>
                </wp:positionH>
                <wp:positionV relativeFrom="paragraph">
                  <wp:posOffset>114935</wp:posOffset>
                </wp:positionV>
                <wp:extent cx="59055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5C519E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9.05pt" to="46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" strokecolor="black [3213]" strokeweight=".5pt">
                <v:stroke joinstyle="miter"/>
              </v:line>
            </w:pict>
          </mc:Fallback>
        </mc:AlternateContent>
      </w:r>
    </w:p>
    <w:p w14:paraId="2633FB9D" w14:textId="77777777" w:rsidR="00E34D48" w:rsidRPr="003440AA" w:rsidRDefault="00E34D48" w:rsidP="00E34D48">
      <w:pPr>
        <w:jc w:val="both"/>
        <w:rPr>
          <w:szCs w:val="24"/>
        </w:rPr>
      </w:pPr>
    </w:p>
    <w:p w14:paraId="3348756D" w14:textId="726E6835" w:rsidR="00E34D48" w:rsidRPr="003440AA" w:rsidRDefault="00E34D48" w:rsidP="00E34D48">
      <w:pPr>
        <w:jc w:val="both"/>
        <w:rPr>
          <w:szCs w:val="24"/>
        </w:rPr>
      </w:pPr>
      <w:r w:rsidRPr="003440AA">
        <w:rPr>
          <w:szCs w:val="24"/>
        </w:rPr>
        <w:t>Dear Chair</w:t>
      </w:r>
      <w:r w:rsidR="000E025E">
        <w:rPr>
          <w:szCs w:val="24"/>
        </w:rPr>
        <w:t>ma</w:t>
      </w:r>
      <w:r w:rsidRPr="003440AA">
        <w:rPr>
          <w:szCs w:val="24"/>
        </w:rPr>
        <w:t xml:space="preserve">n, Vice Chairman, and Members of the </w:t>
      </w:r>
      <w:r w:rsidR="000E025E">
        <w:rPr>
          <w:szCs w:val="24"/>
        </w:rPr>
        <w:t>Senate Committee on Judiciary</w:t>
      </w:r>
      <w:r w:rsidRPr="003440AA">
        <w:rPr>
          <w:szCs w:val="24"/>
        </w:rPr>
        <w:t>,</w:t>
      </w:r>
    </w:p>
    <w:p w14:paraId="7DCDA3B2" w14:textId="77777777" w:rsidR="00E34D48" w:rsidRPr="003440AA" w:rsidRDefault="00E34D48" w:rsidP="00E34D48">
      <w:pPr>
        <w:pStyle w:val="paragraph"/>
        <w:spacing w:before="0" w:beforeAutospacing="0" w:after="0" w:afterAutospacing="0"/>
        <w:jc w:val="both"/>
        <w:textAlignment w:val="baseline"/>
      </w:pPr>
      <w:r w:rsidRPr="003440AA">
        <w:rPr>
          <w:rStyle w:val="eop"/>
        </w:rPr>
        <w:t> </w:t>
      </w:r>
    </w:p>
    <w:p w14:paraId="550DE058" w14:textId="79B9B231" w:rsidR="00E34D48" w:rsidRPr="003440AA" w:rsidRDefault="00E34D48" w:rsidP="00E34D48">
      <w:pPr>
        <w:pStyle w:val="paragraph"/>
        <w:spacing w:before="0" w:beforeAutospacing="0" w:after="0" w:afterAutospacing="0"/>
        <w:jc w:val="both"/>
        <w:textAlignment w:val="baseline"/>
      </w:pPr>
      <w:r w:rsidRPr="003440AA">
        <w:rPr>
          <w:rStyle w:val="normaltextrun"/>
        </w:rPr>
        <w:t xml:space="preserve">Thank you for allowing us, Professor Marci Hamilton of CHILD </w:t>
      </w:r>
      <w:proofErr w:type="gramStart"/>
      <w:r w:rsidRPr="003440AA">
        <w:rPr>
          <w:rStyle w:val="normaltextrun"/>
        </w:rPr>
        <w:t>USA</w:t>
      </w:r>
      <w:proofErr w:type="gramEnd"/>
      <w:r w:rsidRPr="003440AA">
        <w:rPr>
          <w:rStyle w:val="normaltextrun"/>
        </w:rPr>
        <w:t xml:space="preserve"> and Kathryn Robb of CHILD USAdvocacy, to submit testimony regarding SB </w:t>
      </w:r>
      <w:r w:rsidR="000E025E">
        <w:rPr>
          <w:rStyle w:val="normaltextrun"/>
        </w:rPr>
        <w:t>48</w:t>
      </w:r>
      <w:r w:rsidRPr="003440AA">
        <w:rPr>
          <w:rStyle w:val="normaltextrun"/>
        </w:rPr>
        <w:t>, which will increase access to justice for victims of childhood sex trafficking and enhance protection for children in Hawaii.  If passed, this legislation will make Hawaii a leader in the fight to protect children’s rights. </w:t>
      </w:r>
      <w:r w:rsidRPr="003440AA">
        <w:rPr>
          <w:rStyle w:val="eop"/>
        </w:rPr>
        <w:t> </w:t>
      </w:r>
    </w:p>
    <w:p w14:paraId="10647367" w14:textId="77777777" w:rsidR="00E34D48" w:rsidRPr="003440AA" w:rsidRDefault="00E34D48" w:rsidP="00E34D48">
      <w:pPr>
        <w:pStyle w:val="paragraph"/>
        <w:spacing w:before="0" w:beforeAutospacing="0" w:after="0" w:afterAutospacing="0"/>
        <w:jc w:val="both"/>
        <w:textAlignment w:val="baseline"/>
      </w:pPr>
      <w:r w:rsidRPr="003440AA">
        <w:rPr>
          <w:rStyle w:val="eop"/>
        </w:rPr>
        <w:t> </w:t>
      </w:r>
    </w:p>
    <w:p w14:paraId="78ABEB50" w14:textId="2DEBE401" w:rsidR="00E34D48" w:rsidRPr="003440AA" w:rsidRDefault="00E34D48" w:rsidP="00E34D48">
      <w:pPr>
        <w:pStyle w:val="paragraph"/>
        <w:spacing w:before="0" w:beforeAutospacing="0" w:after="0" w:afterAutospacing="0"/>
        <w:jc w:val="both"/>
        <w:textAlignment w:val="baseline"/>
      </w:pPr>
      <w:r w:rsidRPr="003440AA">
        <w:t xml:space="preserve">By way of introduction, Marci Hamilton is the Founder, CEO, and Legal Director of CHILD USA, an interdisciplinary think tank dedicated to the prevention of child abuse and neglect at the University of Pennsylvania, where she is a Professor in the Fels Institute of Government.  </w:t>
      </w:r>
      <w:r w:rsidRPr="003440AA">
        <w:rPr>
          <w:rStyle w:val="normaltextrun"/>
        </w:rPr>
        <w:t xml:space="preserve">She authored </w:t>
      </w:r>
      <w:r w:rsidRPr="003440AA">
        <w:rPr>
          <w:rStyle w:val="normaltextrun"/>
          <w:i/>
          <w:iCs/>
        </w:rPr>
        <w:t>Justice Denied: What America Must Do to Protect Its Children</w:t>
      </w:r>
      <w:r w:rsidRPr="003440AA">
        <w:rPr>
          <w:rStyle w:val="normaltextrun"/>
        </w:rPr>
        <w:t xml:space="preserve"> (Cambridge University Press 2008, 2012), which makes the case for statute of limitations (SOL) reform in the child sex abuse </w:t>
      </w:r>
      <w:proofErr w:type="gramStart"/>
      <w:r w:rsidRPr="003440AA">
        <w:rPr>
          <w:rStyle w:val="normaltextrun"/>
        </w:rPr>
        <w:t>arena, and</w:t>
      </w:r>
      <w:proofErr w:type="gramEnd"/>
      <w:r w:rsidRPr="003440AA">
        <w:rPr>
          <w:rStyle w:val="normaltextrun"/>
        </w:rPr>
        <w:t xml:space="preserve"> is the leading expert on the history and constitutionality of SOL reform.</w:t>
      </w:r>
    </w:p>
    <w:p w14:paraId="766F6567" w14:textId="77777777" w:rsidR="00E34D48" w:rsidRPr="003440AA" w:rsidRDefault="00E34D48" w:rsidP="00E34D48">
      <w:pPr>
        <w:pStyle w:val="paragraph"/>
        <w:spacing w:before="0" w:beforeAutospacing="0" w:after="0" w:afterAutospacing="0"/>
        <w:jc w:val="both"/>
        <w:textAlignment w:val="baseline"/>
      </w:pPr>
      <w:r w:rsidRPr="003440AA">
        <w:rPr>
          <w:rStyle w:val="eop"/>
        </w:rPr>
        <w:t> </w:t>
      </w:r>
    </w:p>
    <w:p w14:paraId="2A921EAC" w14:textId="77777777" w:rsidR="00E34D48" w:rsidRPr="003440AA" w:rsidRDefault="00E34D48" w:rsidP="00E34D48">
      <w:pPr>
        <w:autoSpaceDE w:val="0"/>
        <w:autoSpaceDN w:val="0"/>
        <w:adjustRightInd w:val="0"/>
        <w:jc w:val="both"/>
        <w:rPr>
          <w:szCs w:val="24"/>
        </w:rPr>
      </w:pPr>
      <w:r w:rsidRPr="003440AA">
        <w:rPr>
          <w:szCs w:val="24"/>
        </w:rPr>
        <w:t xml:space="preserve">CHILD USA is the leading nonprofit think tank dedicated to the prevention of child abuse and neglect. It is also the leader in the field of statute of limitations, or “SOL” reform, and the only organization to track child sex abuse SOLs in every state, D.C., and the federal government. </w:t>
      </w:r>
    </w:p>
    <w:p w14:paraId="42AF88DF" w14:textId="77777777" w:rsidR="00E34D48" w:rsidRPr="003440AA" w:rsidRDefault="00E34D48" w:rsidP="00E34D48">
      <w:pPr>
        <w:pStyle w:val="paragraph"/>
        <w:spacing w:before="0" w:beforeAutospacing="0" w:after="0" w:afterAutospacing="0"/>
        <w:jc w:val="both"/>
        <w:textAlignment w:val="baseline"/>
      </w:pPr>
      <w:r w:rsidRPr="003440AA">
        <w:rPr>
          <w:rStyle w:val="eop"/>
        </w:rPr>
        <w:t> </w:t>
      </w:r>
    </w:p>
    <w:p w14:paraId="6322AB6D" w14:textId="77777777" w:rsidR="00E34D48" w:rsidRPr="003440AA" w:rsidRDefault="00E34D48" w:rsidP="00E34D48">
      <w:pPr>
        <w:pStyle w:val="paragraph"/>
        <w:spacing w:before="0" w:beforeAutospacing="0" w:after="0" w:afterAutospacing="0"/>
        <w:jc w:val="both"/>
        <w:textAlignment w:val="baseline"/>
      </w:pPr>
      <w:r w:rsidRPr="003440AA">
        <w:rPr>
          <w:rStyle w:val="normaltextrun"/>
        </w:rPr>
        <w:t>Kathryn Robb is the Executive Director of CHILD USAdvocacy, a 501(c)(4) advocacy organization dedicated to protecting children’s civil liberties and keeping children safe from abuse and neglect.  CHILD USAdvocacy draws on the combined expertise of the nation’s leading experts and child advocates, specifically its sister organization, CHILD USA.  Kathryn is also a survivor of child sexual abuse.</w:t>
      </w:r>
      <w:r w:rsidRPr="003440AA">
        <w:rPr>
          <w:rStyle w:val="eop"/>
        </w:rPr>
        <w:t> </w:t>
      </w:r>
    </w:p>
    <w:p w14:paraId="44175B53" w14:textId="77777777" w:rsidR="00E34D48" w:rsidRPr="003440AA" w:rsidRDefault="00E34D48" w:rsidP="00E34D48">
      <w:pPr>
        <w:jc w:val="both"/>
        <w:rPr>
          <w:szCs w:val="24"/>
        </w:rPr>
      </w:pPr>
    </w:p>
    <w:p w14:paraId="4F175A1D" w14:textId="63F875E9" w:rsidR="00E34D48" w:rsidRPr="003440AA" w:rsidRDefault="00E34D48" w:rsidP="00E34D48">
      <w:pPr>
        <w:jc w:val="both"/>
        <w:rPr>
          <w:szCs w:val="24"/>
        </w:rPr>
      </w:pPr>
      <w:r w:rsidRPr="003440AA">
        <w:rPr>
          <w:szCs w:val="24"/>
        </w:rPr>
        <w:t xml:space="preserve">We commend you and the Committee for taking up SB </w:t>
      </w:r>
      <w:r w:rsidR="00733085">
        <w:rPr>
          <w:szCs w:val="24"/>
        </w:rPr>
        <w:t>48</w:t>
      </w:r>
      <w:r w:rsidRPr="003440AA">
        <w:rPr>
          <w:szCs w:val="24"/>
        </w:rPr>
        <w:t>.</w:t>
      </w:r>
    </w:p>
    <w:p w14:paraId="4DE8F801" w14:textId="77777777" w:rsidR="00E34D48" w:rsidRPr="003440AA" w:rsidRDefault="00E34D48" w:rsidP="00E34D48">
      <w:pPr>
        <w:jc w:val="both"/>
        <w:rPr>
          <w:szCs w:val="24"/>
        </w:rPr>
      </w:pPr>
    </w:p>
    <w:p w14:paraId="11FB1B9B" w14:textId="6A4A9903" w:rsidR="00E34D48" w:rsidRDefault="00E34D48" w:rsidP="00E34D48">
      <w:pPr>
        <w:jc w:val="both"/>
        <w:rPr>
          <w:szCs w:val="24"/>
        </w:rPr>
      </w:pPr>
      <w:r w:rsidRPr="002F43F7">
        <w:rPr>
          <w:szCs w:val="24"/>
        </w:rPr>
        <w:t xml:space="preserve">SB </w:t>
      </w:r>
      <w:r w:rsidR="00733085" w:rsidRPr="002F43F7">
        <w:rPr>
          <w:szCs w:val="24"/>
        </w:rPr>
        <w:t>48</w:t>
      </w:r>
      <w:r w:rsidRPr="002F43F7">
        <w:rPr>
          <w:szCs w:val="24"/>
        </w:rPr>
        <w:t xml:space="preserve"> would </w:t>
      </w:r>
      <w:r w:rsidR="003054F3" w:rsidRPr="002F43F7">
        <w:rPr>
          <w:szCs w:val="24"/>
        </w:rPr>
        <w:t>include solicitation as a</w:t>
      </w:r>
      <w:r w:rsidRPr="002F43F7">
        <w:rPr>
          <w:szCs w:val="24"/>
        </w:rPr>
        <w:t xml:space="preserve"> child sex trafficking crime, as well as clarify the definition of sex trafficking to include non-monetary compensation</w:t>
      </w:r>
      <w:r w:rsidR="00F715F5">
        <w:rPr>
          <w:szCs w:val="24"/>
        </w:rPr>
        <w:t>,</w:t>
      </w:r>
      <w:r w:rsidR="003054F3" w:rsidRPr="002F43F7">
        <w:rPr>
          <w:szCs w:val="24"/>
        </w:rPr>
        <w:t xml:space="preserve"> remove consent as a defense to child sex trafficking</w:t>
      </w:r>
      <w:r w:rsidR="00F715F5">
        <w:rPr>
          <w:szCs w:val="24"/>
        </w:rPr>
        <w:t xml:space="preserve">, and expand the definition to include an inchoate offense.  A prior version of this legislation included a necessary </w:t>
      </w:r>
      <w:r w:rsidR="004A607A">
        <w:rPr>
          <w:szCs w:val="24"/>
        </w:rPr>
        <w:t>elimination</w:t>
      </w:r>
      <w:r w:rsidR="00F715F5">
        <w:rPr>
          <w:szCs w:val="24"/>
        </w:rPr>
        <w:t xml:space="preserve"> of the statute of limitations to prosecute these crimes, </w:t>
      </w:r>
      <w:r w:rsidR="00F715F5">
        <w:rPr>
          <w:szCs w:val="24"/>
        </w:rPr>
        <w:lastRenderedPageBreak/>
        <w:t xml:space="preserve">and we strongly urge you to reinstate this language.  </w:t>
      </w:r>
      <w:r w:rsidRPr="003440AA">
        <w:rPr>
          <w:szCs w:val="24"/>
        </w:rPr>
        <w:t xml:space="preserve">If passed, this legislation will bring Hawaii closer to being a leader in the fight to protect children's rights. </w:t>
      </w:r>
    </w:p>
    <w:p w14:paraId="4F7BE1B7" w14:textId="77777777" w:rsidR="00FB264D" w:rsidRPr="003440AA" w:rsidRDefault="00FB264D" w:rsidP="00E34D48">
      <w:pPr>
        <w:jc w:val="both"/>
        <w:rPr>
          <w:szCs w:val="24"/>
          <w:highlight w:val="yellow"/>
        </w:rPr>
      </w:pPr>
    </w:p>
    <w:p w14:paraId="695EC6AC" w14:textId="0855E335" w:rsidR="00E34D48" w:rsidRPr="003440AA" w:rsidRDefault="00E34D48" w:rsidP="00E34D48">
      <w:pPr>
        <w:pStyle w:val="ListParagraph"/>
        <w:numPr>
          <w:ilvl w:val="0"/>
          <w:numId w:val="20"/>
        </w:numPr>
        <w:jc w:val="both"/>
        <w:rPr>
          <w:rFonts w:ascii="Times New Roman" w:hAnsi="Times New Roman" w:cs="Times New Roman"/>
          <w:b/>
        </w:rPr>
      </w:pPr>
      <w:r w:rsidRPr="003440AA">
        <w:rPr>
          <w:rFonts w:ascii="Times New Roman" w:hAnsi="Times New Roman" w:cs="Times New Roman"/>
          <w:b/>
        </w:rPr>
        <w:t xml:space="preserve">SB </w:t>
      </w:r>
      <w:r w:rsidR="00733085">
        <w:rPr>
          <w:rFonts w:ascii="Times New Roman" w:hAnsi="Times New Roman" w:cs="Times New Roman"/>
          <w:b/>
        </w:rPr>
        <w:t>48</w:t>
      </w:r>
      <w:r w:rsidRPr="003440AA">
        <w:rPr>
          <w:rFonts w:ascii="Times New Roman" w:hAnsi="Times New Roman" w:cs="Times New Roman"/>
          <w:b/>
        </w:rPr>
        <w:t xml:space="preserve"> </w:t>
      </w:r>
      <w:r>
        <w:rPr>
          <w:rFonts w:ascii="Times New Roman" w:hAnsi="Times New Roman" w:cs="Times New Roman"/>
          <w:b/>
        </w:rPr>
        <w:t>W</w:t>
      </w:r>
      <w:r w:rsidRPr="003440AA">
        <w:rPr>
          <w:rFonts w:ascii="Times New Roman" w:hAnsi="Times New Roman" w:cs="Times New Roman"/>
          <w:b/>
        </w:rPr>
        <w:t>ill Correctly Identify Children as Victims</w:t>
      </w:r>
      <w:r w:rsidR="003C6EC6">
        <w:rPr>
          <w:rFonts w:ascii="Times New Roman" w:hAnsi="Times New Roman" w:cs="Times New Roman"/>
          <w:b/>
        </w:rPr>
        <w:t>, and Accurately Capture Perpetrators</w:t>
      </w:r>
    </w:p>
    <w:p w14:paraId="73F8AB9E" w14:textId="77777777" w:rsidR="00E34D48" w:rsidRPr="003440AA" w:rsidRDefault="00E34D48" w:rsidP="00E34D48">
      <w:pPr>
        <w:jc w:val="both"/>
        <w:rPr>
          <w:b/>
          <w:szCs w:val="24"/>
        </w:rPr>
      </w:pPr>
    </w:p>
    <w:p w14:paraId="4C3FA192" w14:textId="200A5A4A" w:rsidR="003C6EC6" w:rsidRDefault="003C6EC6" w:rsidP="00E34D48">
      <w:pPr>
        <w:contextualSpacing/>
        <w:jc w:val="both"/>
        <w:rPr>
          <w:szCs w:val="24"/>
        </w:rPr>
      </w:pPr>
      <w:r w:rsidRPr="003440AA">
        <w:rPr>
          <w:szCs w:val="24"/>
        </w:rPr>
        <w:t>There is a worldwide epidemic of child sex trafficking, with millions of people being trafficked for sex, 94% of which are women and girls.</w:t>
      </w:r>
      <w:r w:rsidRPr="003440AA">
        <w:rPr>
          <w:rStyle w:val="FootnoteReference"/>
          <w:szCs w:val="24"/>
        </w:rPr>
        <w:footnoteReference w:id="1"/>
      </w:r>
      <w:r w:rsidRPr="003440AA">
        <w:rPr>
          <w:szCs w:val="24"/>
        </w:rPr>
        <w:t xml:space="preserve">  In 2019, Polaris Project worked on trafficking situations involving 22,326 individual survivors in the United States through the National Trafficking Hotline.</w:t>
      </w:r>
      <w:r w:rsidRPr="003440AA">
        <w:rPr>
          <w:rStyle w:val="FootnoteReference"/>
          <w:szCs w:val="24"/>
        </w:rPr>
        <w:footnoteReference w:id="2"/>
      </w:r>
      <w:r w:rsidRPr="003440AA">
        <w:rPr>
          <w:szCs w:val="24"/>
        </w:rPr>
        <w:t xml:space="preserve">  According to the National Center for Missing and Exploited Children, </w:t>
      </w:r>
      <w:r w:rsidRPr="008A11EF">
        <w:rPr>
          <w:b/>
          <w:bCs/>
          <w:szCs w:val="24"/>
        </w:rPr>
        <w:t>1 out of 6 children reported missing is “likely [a victim] of child sex trafficking”</w:t>
      </w:r>
      <w:r w:rsidRPr="003440AA">
        <w:rPr>
          <w:szCs w:val="24"/>
        </w:rPr>
        <w:t xml:space="preserve"> based on case information.</w:t>
      </w:r>
      <w:r w:rsidRPr="003440AA">
        <w:rPr>
          <w:rStyle w:val="FootnoteReference"/>
          <w:szCs w:val="24"/>
        </w:rPr>
        <w:footnoteReference w:id="3"/>
      </w:r>
      <w:r w:rsidRPr="003440AA">
        <w:rPr>
          <w:szCs w:val="24"/>
        </w:rPr>
        <w:t xml:space="preserve">  In a recent joint study by Arizona State University and the Hawaii State Commission on the Status of Women conducted from April-June 2019, </w:t>
      </w:r>
      <w:r w:rsidRPr="003440AA">
        <w:rPr>
          <w:b/>
          <w:bCs/>
          <w:szCs w:val="24"/>
        </w:rPr>
        <w:t>1 out of 5 victims of sex trafficking in Hawaii were trafficked as children</w:t>
      </w:r>
      <w:r w:rsidRPr="003440AA">
        <w:rPr>
          <w:szCs w:val="24"/>
        </w:rPr>
        <w:t xml:space="preserve">. </w:t>
      </w:r>
    </w:p>
    <w:p w14:paraId="73490353" w14:textId="77777777" w:rsidR="002F43F7" w:rsidRDefault="002F43F7" w:rsidP="00E34D48">
      <w:pPr>
        <w:contextualSpacing/>
        <w:jc w:val="both"/>
        <w:rPr>
          <w:szCs w:val="24"/>
        </w:rPr>
      </w:pPr>
    </w:p>
    <w:p w14:paraId="0BB0625A" w14:textId="77777777" w:rsidR="002F43F7" w:rsidRDefault="002F43F7" w:rsidP="002F43F7">
      <w:pPr>
        <w:jc w:val="both"/>
        <w:rPr>
          <w:bCs/>
          <w:szCs w:val="24"/>
        </w:rPr>
      </w:pPr>
      <w:r w:rsidRPr="003440AA">
        <w:rPr>
          <w:bCs/>
          <w:szCs w:val="24"/>
        </w:rPr>
        <w:t xml:space="preserve">According to federal law, </w:t>
      </w:r>
      <w:r w:rsidRPr="003440AA">
        <w:rPr>
          <w:b/>
          <w:i/>
          <w:iCs/>
          <w:szCs w:val="24"/>
        </w:rPr>
        <w:t xml:space="preserve">any child </w:t>
      </w:r>
      <w:r w:rsidRPr="003440AA">
        <w:rPr>
          <w:b/>
          <w:szCs w:val="24"/>
        </w:rPr>
        <w:t xml:space="preserve">engaged in commercial sex is a victim of </w:t>
      </w:r>
      <w:r>
        <w:rPr>
          <w:b/>
          <w:szCs w:val="24"/>
        </w:rPr>
        <w:t>a severe form of</w:t>
      </w:r>
      <w:r w:rsidRPr="003440AA">
        <w:rPr>
          <w:b/>
          <w:szCs w:val="24"/>
        </w:rPr>
        <w:t xml:space="preserve"> sex trafficking</w:t>
      </w:r>
      <w:r w:rsidRPr="003440AA">
        <w:rPr>
          <w:bCs/>
          <w:szCs w:val="24"/>
        </w:rPr>
        <w:t>.</w:t>
      </w:r>
      <w:r>
        <w:rPr>
          <w:rStyle w:val="FootnoteReference"/>
          <w:bCs/>
          <w:szCs w:val="24"/>
        </w:rPr>
        <w:footnoteReference w:id="4"/>
      </w:r>
      <w:r w:rsidRPr="003440AA">
        <w:rPr>
          <w:bCs/>
          <w:szCs w:val="24"/>
        </w:rPr>
        <w:t xml:space="preserve">  </w:t>
      </w:r>
      <w:r>
        <w:rPr>
          <w:bCs/>
          <w:szCs w:val="24"/>
        </w:rPr>
        <w:t xml:space="preserve">The federal law correctly acknowledges that children are incapable of consenting to sex.  </w:t>
      </w:r>
      <w:r w:rsidRPr="003440AA">
        <w:rPr>
          <w:bCs/>
          <w:szCs w:val="24"/>
        </w:rPr>
        <w:t xml:space="preserve">Moreover, anyone over the age of 18 engaged in commercial sex who has experienced any form of physical or sexual force, coercive grooming, financial coercion, or manipulative fraud at any time is also considered a victim. </w:t>
      </w:r>
    </w:p>
    <w:p w14:paraId="77DDEA25" w14:textId="176C8867" w:rsidR="003C6EC6" w:rsidRDefault="003C6EC6" w:rsidP="00E34D48">
      <w:pPr>
        <w:contextualSpacing/>
        <w:jc w:val="both"/>
        <w:rPr>
          <w:szCs w:val="24"/>
        </w:rPr>
      </w:pPr>
    </w:p>
    <w:p w14:paraId="79A1615A" w14:textId="2D4BF216" w:rsidR="00CF7E7A" w:rsidRDefault="003C6EC6" w:rsidP="002F43F7">
      <w:pPr>
        <w:spacing w:after="160" w:line="259" w:lineRule="auto"/>
        <w:jc w:val="both"/>
        <w:rPr>
          <w:bCs/>
          <w:szCs w:val="24"/>
        </w:rPr>
      </w:pPr>
      <w:r w:rsidRPr="00733085">
        <w:rPr>
          <w:bCs/>
          <w:szCs w:val="24"/>
        </w:rPr>
        <w:t xml:space="preserve">SB 48 correctly identifies children as victims, bringing </w:t>
      </w:r>
      <w:r w:rsidR="00FB264D">
        <w:rPr>
          <w:bCs/>
          <w:szCs w:val="24"/>
        </w:rPr>
        <w:t>attempted solicitation of</w:t>
      </w:r>
      <w:r w:rsidRPr="00733085">
        <w:rPr>
          <w:bCs/>
          <w:szCs w:val="24"/>
        </w:rPr>
        <w:t xml:space="preserve"> a minor for prostitution into the definition of sex trafficking, and into line with the federal law.  It also underscores this change by removing </w:t>
      </w:r>
      <w:r w:rsidR="00FE2B0D">
        <w:rPr>
          <w:bCs/>
          <w:szCs w:val="24"/>
        </w:rPr>
        <w:t>c</w:t>
      </w:r>
      <w:r w:rsidRPr="00733085">
        <w:rPr>
          <w:bCs/>
          <w:szCs w:val="24"/>
        </w:rPr>
        <w:t>onsent as a possible defense for child sex trafficking.  These changes encourage an attitude shift in victims, law enforcement, members of the judiciary, and the public to recognize victims as v</w:t>
      </w:r>
      <w:r w:rsidR="002F43F7">
        <w:rPr>
          <w:bCs/>
          <w:szCs w:val="24"/>
        </w:rPr>
        <w:t>i</w:t>
      </w:r>
      <w:r w:rsidRPr="00733085">
        <w:rPr>
          <w:bCs/>
          <w:szCs w:val="24"/>
        </w:rPr>
        <w:t>ctims, and to remove misplaced stigma that may keep victims from coming forward.</w:t>
      </w:r>
      <w:r>
        <w:rPr>
          <w:bCs/>
          <w:szCs w:val="24"/>
        </w:rPr>
        <w:t xml:space="preserve"> </w:t>
      </w:r>
    </w:p>
    <w:p w14:paraId="617D7578" w14:textId="05437685" w:rsidR="00086597" w:rsidRDefault="00992071" w:rsidP="00E34D48">
      <w:pPr>
        <w:jc w:val="both"/>
        <w:rPr>
          <w:bCs/>
          <w:szCs w:val="24"/>
        </w:rPr>
      </w:pPr>
      <w:r>
        <w:rPr>
          <w:bCs/>
          <w:szCs w:val="24"/>
        </w:rPr>
        <w:t>SB 48 seeks to broaden the definition of a sex trafficking, which would bring Hawaii law in line with f</w:t>
      </w:r>
      <w:r w:rsidR="00A301C7">
        <w:rPr>
          <w:bCs/>
          <w:szCs w:val="24"/>
        </w:rPr>
        <w:t xml:space="preserve">ederal law </w:t>
      </w:r>
      <w:r>
        <w:rPr>
          <w:bCs/>
          <w:szCs w:val="24"/>
        </w:rPr>
        <w:t>which</w:t>
      </w:r>
      <w:r w:rsidR="00A301C7">
        <w:rPr>
          <w:bCs/>
          <w:szCs w:val="24"/>
        </w:rPr>
        <w:t xml:space="preserve"> defines</w:t>
      </w:r>
      <w:r w:rsidR="00903D0E">
        <w:rPr>
          <w:bCs/>
          <w:szCs w:val="24"/>
        </w:rPr>
        <w:t xml:space="preserve"> sex trafficking </w:t>
      </w:r>
      <w:r w:rsidR="00903D0E" w:rsidRPr="00903D0E">
        <w:rPr>
          <w:bCs/>
          <w:szCs w:val="24"/>
        </w:rPr>
        <w:t>a</w:t>
      </w:r>
      <w:r w:rsidR="00903D0E" w:rsidRPr="00086597">
        <w:rPr>
          <w:bCs/>
          <w:szCs w:val="24"/>
        </w:rPr>
        <w:t xml:space="preserve">s </w:t>
      </w:r>
      <w:r w:rsidR="008038CB">
        <w:rPr>
          <w:bCs/>
          <w:szCs w:val="24"/>
        </w:rPr>
        <w:t>“the recruitment, harboring, transportation, provision, obtaining, patronizing, or soliciting of a person for the purpose of a commercial sex act.”</w:t>
      </w:r>
      <w:r w:rsidR="008038CB">
        <w:rPr>
          <w:rStyle w:val="FootnoteReference"/>
          <w:bCs/>
          <w:szCs w:val="24"/>
        </w:rPr>
        <w:footnoteReference w:id="5"/>
      </w:r>
      <w:r w:rsidR="008038CB">
        <w:rPr>
          <w:bCs/>
          <w:szCs w:val="24"/>
        </w:rPr>
        <w:t xml:space="preserve"> </w:t>
      </w:r>
    </w:p>
    <w:p w14:paraId="08268D95" w14:textId="4A12489F" w:rsidR="00FE2B0D" w:rsidRDefault="00FE2B0D" w:rsidP="00E34D48">
      <w:pPr>
        <w:jc w:val="both"/>
        <w:rPr>
          <w:bCs/>
          <w:szCs w:val="24"/>
        </w:rPr>
      </w:pPr>
    </w:p>
    <w:p w14:paraId="3A78DE25" w14:textId="49EEF7E0" w:rsidR="00FE2B0D" w:rsidRDefault="00FE2B0D" w:rsidP="00E34D48">
      <w:pPr>
        <w:jc w:val="both"/>
        <w:rPr>
          <w:bCs/>
          <w:szCs w:val="24"/>
        </w:rPr>
      </w:pPr>
    </w:p>
    <w:p w14:paraId="6FA81C52" w14:textId="1F536EBA" w:rsidR="00FE2B0D" w:rsidRDefault="00FE2B0D" w:rsidP="00E34D48">
      <w:pPr>
        <w:jc w:val="both"/>
        <w:rPr>
          <w:bCs/>
          <w:szCs w:val="24"/>
        </w:rPr>
      </w:pPr>
    </w:p>
    <w:p w14:paraId="5ECB8FA3" w14:textId="77777777" w:rsidR="00FE2B0D" w:rsidRDefault="00FE2B0D" w:rsidP="00E34D48">
      <w:pPr>
        <w:jc w:val="both"/>
        <w:rPr>
          <w:bCs/>
          <w:szCs w:val="24"/>
        </w:rPr>
      </w:pPr>
    </w:p>
    <w:p w14:paraId="18A81F9B" w14:textId="77777777" w:rsidR="00E34D48" w:rsidRDefault="00E34D48" w:rsidP="00E34D48">
      <w:pPr>
        <w:jc w:val="both"/>
        <w:rPr>
          <w:bCs/>
          <w:szCs w:val="24"/>
        </w:rPr>
      </w:pPr>
    </w:p>
    <w:p w14:paraId="0B2DB21E" w14:textId="58B72F4F" w:rsidR="00E34D48" w:rsidRDefault="00E34D48" w:rsidP="00E34D48">
      <w:pPr>
        <w:contextualSpacing/>
        <w:jc w:val="both"/>
        <w:rPr>
          <w:szCs w:val="24"/>
        </w:rPr>
      </w:pPr>
    </w:p>
    <w:p w14:paraId="25FF2556" w14:textId="010ADF73" w:rsidR="00A301C7" w:rsidRDefault="009426AB" w:rsidP="003C6EC6">
      <w:pPr>
        <w:pStyle w:val="ListParagraph"/>
        <w:numPr>
          <w:ilvl w:val="0"/>
          <w:numId w:val="20"/>
        </w:numPr>
        <w:jc w:val="both"/>
        <w:rPr>
          <w:rFonts w:ascii="Times New Roman" w:hAnsi="Times New Roman" w:cs="Times New Roman"/>
          <w:b/>
        </w:rPr>
      </w:pPr>
      <w:r>
        <w:rPr>
          <w:rFonts w:ascii="Times New Roman" w:hAnsi="Times New Roman" w:cs="Times New Roman"/>
          <w:b/>
        </w:rPr>
        <w:lastRenderedPageBreak/>
        <w:t xml:space="preserve">A prior version of SB 48 </w:t>
      </w:r>
      <w:r w:rsidR="004A607A">
        <w:rPr>
          <w:rFonts w:ascii="Times New Roman" w:hAnsi="Times New Roman" w:cs="Times New Roman"/>
          <w:b/>
        </w:rPr>
        <w:t>Eliminated</w:t>
      </w:r>
      <w:r>
        <w:rPr>
          <w:rFonts w:ascii="Times New Roman" w:hAnsi="Times New Roman" w:cs="Times New Roman"/>
          <w:b/>
        </w:rPr>
        <w:t xml:space="preserve"> the Statute of Limitations for Child Sex Trafficking Prosecution, and it is Important to Reinstate this </w:t>
      </w:r>
      <w:proofErr w:type="gramStart"/>
      <w:r>
        <w:rPr>
          <w:rFonts w:ascii="Times New Roman" w:hAnsi="Times New Roman" w:cs="Times New Roman"/>
          <w:b/>
        </w:rPr>
        <w:t>Language</w:t>
      </w:r>
      <w:proofErr w:type="gramEnd"/>
    </w:p>
    <w:p w14:paraId="01EE4B11" w14:textId="77777777" w:rsidR="003C6EC6" w:rsidRPr="003C6EC6" w:rsidRDefault="003C6EC6" w:rsidP="003C6EC6">
      <w:pPr>
        <w:ind w:left="360"/>
        <w:jc w:val="both"/>
        <w:rPr>
          <w:b/>
        </w:rPr>
      </w:pPr>
    </w:p>
    <w:p w14:paraId="4DFACABD" w14:textId="1473C86D" w:rsidR="00F33691" w:rsidRDefault="00A301C7" w:rsidP="00E34D48">
      <w:pPr>
        <w:jc w:val="both"/>
        <w:rPr>
          <w:szCs w:val="24"/>
        </w:rPr>
      </w:pPr>
      <w:r w:rsidRPr="003440AA">
        <w:rPr>
          <w:szCs w:val="24"/>
        </w:rPr>
        <w:t>Current Hawaii law provides that a prosecution for child sex trafficking must be commenced within 6 years of the abuse, or by a victim’s 24</w:t>
      </w:r>
      <w:r w:rsidRPr="003440AA">
        <w:rPr>
          <w:szCs w:val="24"/>
          <w:vertAlign w:val="superscript"/>
        </w:rPr>
        <w:t>th</w:t>
      </w:r>
      <w:r w:rsidRPr="003440AA">
        <w:rPr>
          <w:szCs w:val="24"/>
        </w:rPr>
        <w:t xml:space="preserve"> birthday.</w:t>
      </w:r>
      <w:r>
        <w:rPr>
          <w:rStyle w:val="FootnoteReference"/>
          <w:szCs w:val="24"/>
        </w:rPr>
        <w:footnoteReference w:id="6"/>
      </w:r>
      <w:r w:rsidRPr="003440AA">
        <w:rPr>
          <w:szCs w:val="24"/>
        </w:rPr>
        <w:t xml:space="preserve">  </w:t>
      </w:r>
      <w:r>
        <w:rPr>
          <w:szCs w:val="24"/>
        </w:rPr>
        <w:t xml:space="preserve">A prior version of </w:t>
      </w:r>
      <w:r w:rsidRPr="003440AA">
        <w:rPr>
          <w:szCs w:val="24"/>
        </w:rPr>
        <w:t xml:space="preserve">SB </w:t>
      </w:r>
      <w:r>
        <w:rPr>
          <w:szCs w:val="24"/>
        </w:rPr>
        <w:t>48</w:t>
      </w:r>
      <w:r w:rsidRPr="003440AA">
        <w:rPr>
          <w:szCs w:val="24"/>
        </w:rPr>
        <w:t xml:space="preserve"> </w:t>
      </w:r>
      <w:r>
        <w:rPr>
          <w:szCs w:val="24"/>
        </w:rPr>
        <w:t xml:space="preserve">sought to </w:t>
      </w:r>
      <w:r w:rsidRPr="003440AA">
        <w:rPr>
          <w:szCs w:val="24"/>
        </w:rPr>
        <w:t>eliminate the criminal SOL, allowing more victims to come forward when they are ready</w:t>
      </w:r>
      <w:r>
        <w:rPr>
          <w:szCs w:val="24"/>
        </w:rPr>
        <w:t>, but that language has been removed from the current version.  We urge you to reinstate this language, as t</w:t>
      </w:r>
      <w:r w:rsidR="00E34D48" w:rsidRPr="003440AA">
        <w:rPr>
          <w:szCs w:val="24"/>
        </w:rPr>
        <w:t>he trauma stemming from child sexual abuse is complex and individualized, and it impacts victims throughout their lifetimes.</w:t>
      </w:r>
      <w:r w:rsidR="00F33691">
        <w:rPr>
          <w:szCs w:val="24"/>
        </w:rPr>
        <w:t xml:space="preserve">  </w:t>
      </w:r>
      <w:r w:rsidR="00F33691" w:rsidRPr="003440AA">
        <w:rPr>
          <w:szCs w:val="24"/>
        </w:rPr>
        <w:t xml:space="preserve">Hawaii has already eliminated the criminal SOL for first and second-degree sexual assault and continuous sexual assault of a minor under age 14, so </w:t>
      </w:r>
      <w:r w:rsidR="00F33691">
        <w:rPr>
          <w:szCs w:val="24"/>
        </w:rPr>
        <w:t xml:space="preserve">reinstating the criminal SOL </w:t>
      </w:r>
      <w:r w:rsidR="004A607A">
        <w:rPr>
          <w:szCs w:val="24"/>
        </w:rPr>
        <w:t>elimination</w:t>
      </w:r>
      <w:r w:rsidR="00F33691">
        <w:rPr>
          <w:szCs w:val="24"/>
        </w:rPr>
        <w:t xml:space="preserve"> in </w:t>
      </w:r>
      <w:r w:rsidR="00F33691" w:rsidRPr="003440AA">
        <w:rPr>
          <w:szCs w:val="24"/>
        </w:rPr>
        <w:t xml:space="preserve">SB </w:t>
      </w:r>
      <w:r w:rsidR="00F33691">
        <w:rPr>
          <w:szCs w:val="24"/>
        </w:rPr>
        <w:t>48</w:t>
      </w:r>
      <w:r w:rsidR="00F33691" w:rsidRPr="003440AA">
        <w:rPr>
          <w:szCs w:val="24"/>
        </w:rPr>
        <w:t xml:space="preserve"> </w:t>
      </w:r>
      <w:r w:rsidR="00F33691">
        <w:rPr>
          <w:szCs w:val="24"/>
        </w:rPr>
        <w:t>would correct</w:t>
      </w:r>
      <w:r w:rsidR="00F33691" w:rsidRPr="003440AA">
        <w:rPr>
          <w:szCs w:val="24"/>
        </w:rPr>
        <w:t xml:space="preserve"> the omission of child sex trafficking from that list.  It </w:t>
      </w:r>
      <w:r w:rsidR="00F33691">
        <w:rPr>
          <w:szCs w:val="24"/>
        </w:rPr>
        <w:t>would also</w:t>
      </w:r>
      <w:r w:rsidR="00F33691" w:rsidRPr="003440AA">
        <w:rPr>
          <w:szCs w:val="24"/>
        </w:rPr>
        <w:t xml:space="preserve"> better align Hawaii’s definitions of child sex trafficking to those of the federal government, to highlight the reality that children involved in sex trafficking are victims.</w:t>
      </w:r>
    </w:p>
    <w:p w14:paraId="4E083D0D" w14:textId="2D1B035A" w:rsidR="00A046AA" w:rsidRDefault="00A046AA" w:rsidP="00E34D48">
      <w:pPr>
        <w:jc w:val="both"/>
        <w:rPr>
          <w:szCs w:val="24"/>
        </w:rPr>
      </w:pPr>
    </w:p>
    <w:p w14:paraId="1C5387C4" w14:textId="0851C606" w:rsidR="00E34D48" w:rsidRPr="003440AA" w:rsidRDefault="00A046AA" w:rsidP="00E34D48">
      <w:pPr>
        <w:jc w:val="both"/>
        <w:rPr>
          <w:szCs w:val="24"/>
        </w:rPr>
      </w:pPr>
      <w:r w:rsidRPr="003440AA">
        <w:rPr>
          <w:szCs w:val="24"/>
        </w:rPr>
        <w:t>Statutes of limitations or SOLs are judicial housekeeping rules: they set the deadline for pressing criminal charges or filing a civil lawsuit.  An SOL is an arbitrary and technical legal rule that has prevented victims from naming their perpetrators publicly for fear of retaliation and from obtaining justice.</w:t>
      </w:r>
      <w:r>
        <w:rPr>
          <w:szCs w:val="24"/>
        </w:rPr>
        <w:t xml:space="preserve">  </w:t>
      </w:r>
      <w:r w:rsidR="00E34D48" w:rsidRPr="003440AA">
        <w:rPr>
          <w:szCs w:val="24"/>
        </w:rPr>
        <w:t xml:space="preserve">In fact, the </w:t>
      </w:r>
      <w:r w:rsidR="00E34D48" w:rsidRPr="003440AA">
        <w:rPr>
          <w:b/>
          <w:szCs w:val="24"/>
        </w:rPr>
        <w:t xml:space="preserve">average age of disclosure of child sexual abuse, including child sex trafficking, in a study of 1,000 victims was 52 </w:t>
      </w:r>
      <w:proofErr w:type="gramStart"/>
      <w:r w:rsidR="00E34D48" w:rsidRPr="003440AA">
        <w:rPr>
          <w:b/>
          <w:szCs w:val="24"/>
        </w:rPr>
        <w:t>years-old</w:t>
      </w:r>
      <w:proofErr w:type="gramEnd"/>
      <w:r w:rsidR="00E34D48" w:rsidRPr="003440AA">
        <w:rPr>
          <w:szCs w:val="24"/>
        </w:rPr>
        <w:t>.</w:t>
      </w:r>
      <w:r w:rsidR="00E34D48" w:rsidRPr="003440AA">
        <w:rPr>
          <w:rStyle w:val="FootnoteReference"/>
          <w:szCs w:val="24"/>
        </w:rPr>
        <w:footnoteReference w:id="7"/>
      </w:r>
      <w:r w:rsidR="00E34D48" w:rsidRPr="003440AA">
        <w:rPr>
          <w:szCs w:val="24"/>
        </w:rPr>
        <w:t xml:space="preserve">  Yet, until recently, many states blocked criminal charges and civil lawsuits well before age 52.  By the </w:t>
      </w:r>
      <w:proofErr w:type="gramStart"/>
      <w:r w:rsidR="00E34D48" w:rsidRPr="003440AA">
        <w:rPr>
          <w:szCs w:val="24"/>
        </w:rPr>
        <w:t>time</w:t>
      </w:r>
      <w:proofErr w:type="gramEnd"/>
      <w:r w:rsidR="00E34D48" w:rsidRPr="003440AA">
        <w:rPr>
          <w:szCs w:val="24"/>
        </w:rPr>
        <w:t xml:space="preserve"> most victims were ready to come forward, the courthouse doors were locked, shutting victims out of justice.  </w:t>
      </w:r>
    </w:p>
    <w:p w14:paraId="4B8C3BBA" w14:textId="77777777" w:rsidR="00E34D48" w:rsidRPr="003440AA" w:rsidRDefault="00E34D48" w:rsidP="00E34D48">
      <w:pPr>
        <w:contextualSpacing/>
        <w:jc w:val="center"/>
        <w:rPr>
          <w:szCs w:val="24"/>
          <w:highlight w:val="yellow"/>
        </w:rPr>
      </w:pPr>
      <w:r w:rsidRPr="003440AA">
        <w:rPr>
          <w:noProof/>
          <w:szCs w:val="24"/>
        </w:rPr>
        <w:drawing>
          <wp:inline distT="0" distB="0" distL="0" distR="0" wp14:anchorId="74EB4CA5" wp14:editId="262402B6">
            <wp:extent cx="4752975" cy="2987113"/>
            <wp:effectExtent l="0" t="0" r="0" b="3810"/>
            <wp:docPr id="26" name="Picture 2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8398" cy="2996806"/>
                    </a:xfrm>
                    <a:prstGeom prst="rect">
                      <a:avLst/>
                    </a:prstGeom>
                  </pic:spPr>
                </pic:pic>
              </a:graphicData>
            </a:graphic>
          </wp:inline>
        </w:drawing>
      </w:r>
    </w:p>
    <w:p w14:paraId="5DDC1A06" w14:textId="77777777" w:rsidR="00E34D48" w:rsidRPr="003440AA" w:rsidRDefault="00E34D48" w:rsidP="00E34D48">
      <w:pPr>
        <w:contextualSpacing/>
        <w:jc w:val="both"/>
        <w:rPr>
          <w:szCs w:val="24"/>
          <w:highlight w:val="yellow"/>
        </w:rPr>
      </w:pPr>
    </w:p>
    <w:p w14:paraId="4C27E200" w14:textId="77777777" w:rsidR="00E34D48" w:rsidRPr="003440AA" w:rsidRDefault="00E34D48" w:rsidP="00F33691">
      <w:pPr>
        <w:contextualSpacing/>
        <w:rPr>
          <w:szCs w:val="24"/>
        </w:rPr>
      </w:pPr>
    </w:p>
    <w:p w14:paraId="18D1D0B3" w14:textId="77777777" w:rsidR="00E34D48" w:rsidRPr="003440AA" w:rsidRDefault="00E34D48" w:rsidP="00E34D48">
      <w:pPr>
        <w:contextualSpacing/>
        <w:jc w:val="both"/>
        <w:rPr>
          <w:szCs w:val="24"/>
        </w:rPr>
      </w:pPr>
    </w:p>
    <w:p w14:paraId="44402F01" w14:textId="77777777" w:rsidR="00E34D48" w:rsidRPr="003440AA" w:rsidRDefault="00E34D48" w:rsidP="00E34D48">
      <w:pPr>
        <w:pStyle w:val="ListParagraph"/>
        <w:numPr>
          <w:ilvl w:val="0"/>
          <w:numId w:val="20"/>
        </w:numPr>
        <w:jc w:val="both"/>
        <w:rPr>
          <w:rFonts w:ascii="Times New Roman" w:hAnsi="Times New Roman" w:cs="Times New Roman"/>
          <w:b/>
          <w:bCs/>
        </w:rPr>
      </w:pPr>
      <w:r w:rsidRPr="003440AA">
        <w:rPr>
          <w:rFonts w:ascii="Times New Roman" w:hAnsi="Times New Roman" w:cs="Times New Roman"/>
          <w:b/>
          <w:bCs/>
        </w:rPr>
        <w:lastRenderedPageBreak/>
        <w:t>Hawaii Should Join the National Trend Toward Meaningful SOL Reform for Child Sex Abuse by Eliminating its Criminal SOL for Child Sex Trafficking</w:t>
      </w:r>
    </w:p>
    <w:p w14:paraId="6D581A3E" w14:textId="77777777" w:rsidR="00E34D48" w:rsidRPr="003440AA" w:rsidRDefault="00E34D48" w:rsidP="00E34D48">
      <w:pPr>
        <w:contextualSpacing/>
        <w:rPr>
          <w:szCs w:val="24"/>
        </w:rPr>
      </w:pPr>
    </w:p>
    <w:p w14:paraId="67F3B767" w14:textId="3390DC02" w:rsidR="00E34D48" w:rsidRPr="003440AA" w:rsidRDefault="00E34D48" w:rsidP="00E34D48">
      <w:pPr>
        <w:contextualSpacing/>
        <w:jc w:val="both"/>
        <w:rPr>
          <w:szCs w:val="24"/>
        </w:rPr>
      </w:pPr>
      <w:r w:rsidRPr="003440AA">
        <w:rPr>
          <w:szCs w:val="24"/>
        </w:rPr>
        <w:t>There is a national and global movement for SOL reform.  The trend is toward elimination of civil and criminal SOLs and the revival of expired civil claims.  For an analysis of the SOL reform movement from 2002 through 2020, see CHILD USA’s 2020 SOL Report.</w:t>
      </w:r>
      <w:r w:rsidRPr="003440AA">
        <w:rPr>
          <w:szCs w:val="24"/>
          <w:vertAlign w:val="superscript"/>
        </w:rPr>
        <w:footnoteReference w:id="8"/>
      </w:r>
      <w:r w:rsidRPr="003440AA">
        <w:rPr>
          <w:szCs w:val="24"/>
        </w:rPr>
        <w:t xml:space="preserve">  2019 was a banner year for helping child sex abuse survivors access justice </w:t>
      </w:r>
      <w:r w:rsidRPr="003440AA">
        <w:rPr>
          <w:szCs w:val="24"/>
          <w:bdr w:val="none" w:sz="0" w:space="0" w:color="auto" w:frame="1"/>
        </w:rPr>
        <w:t xml:space="preserve">by changing the statutes of limitations.  With the public more awake than </w:t>
      </w:r>
      <w:proofErr w:type="gramStart"/>
      <w:r w:rsidRPr="003440AA">
        <w:rPr>
          <w:szCs w:val="24"/>
          <w:bdr w:val="none" w:sz="0" w:space="0" w:color="auto" w:frame="1"/>
        </w:rPr>
        <w:t>they’ve</w:t>
      </w:r>
      <w:proofErr w:type="gramEnd"/>
      <w:r w:rsidRPr="003440AA">
        <w:rPr>
          <w:szCs w:val="24"/>
          <w:bdr w:val="none" w:sz="0" w:space="0" w:color="auto" w:frame="1"/>
        </w:rPr>
        <w:t xml:space="preserve"> ever been to the injustice survivors faced by being shut out of courts, there was a surge of SOL reform, with 23 states and Washington D.C changing their SOLs for the better in 2019.</w:t>
      </w:r>
      <w:r w:rsidRPr="003440AA">
        <w:rPr>
          <w:szCs w:val="24"/>
          <w:vertAlign w:val="superscript"/>
        </w:rPr>
        <w:footnoteReference w:id="9"/>
      </w:r>
      <w:r w:rsidRPr="003440AA">
        <w:rPr>
          <w:szCs w:val="24"/>
          <w:bdr w:val="none" w:sz="0" w:space="0" w:color="auto" w:frame="1"/>
        </w:rPr>
        <w:t xml:space="preserve">  The powerful SOL reform wave rode its way into 2020, with 30 states introducing legislation, but the outbreak of Covid-19 slowed its momentum.  Despite significant disruptions by Covid-19 in 2020, 8 states passed new and improved SOL laws for child sex abuse</w:t>
      </w:r>
      <w:r w:rsidRPr="003440AA">
        <w:rPr>
          <w:szCs w:val="24"/>
        </w:rPr>
        <w:t>.</w:t>
      </w:r>
      <w:r w:rsidRPr="003440AA">
        <w:rPr>
          <w:szCs w:val="24"/>
          <w:vertAlign w:val="superscript"/>
        </w:rPr>
        <w:t xml:space="preserve"> </w:t>
      </w:r>
      <w:r w:rsidRPr="003440AA">
        <w:rPr>
          <w:szCs w:val="24"/>
          <w:vertAlign w:val="superscript"/>
        </w:rPr>
        <w:footnoteReference w:id="10"/>
      </w:r>
      <w:r w:rsidRPr="003440AA">
        <w:rPr>
          <w:szCs w:val="24"/>
        </w:rPr>
        <w:t xml:space="preserve">  By February of 2021, 2</w:t>
      </w:r>
      <w:r w:rsidR="00465804">
        <w:rPr>
          <w:szCs w:val="24"/>
        </w:rPr>
        <w:t>7</w:t>
      </w:r>
      <w:r w:rsidRPr="003440AA">
        <w:rPr>
          <w:szCs w:val="24"/>
        </w:rPr>
        <w:t xml:space="preserve"> states have already introduced SOL reform bills.</w:t>
      </w:r>
      <w:r w:rsidRPr="003440AA">
        <w:rPr>
          <w:rStyle w:val="FootnoteReference"/>
          <w:szCs w:val="24"/>
        </w:rPr>
        <w:footnoteReference w:id="11"/>
      </w:r>
      <w:r w:rsidRPr="003440AA">
        <w:rPr>
          <w:szCs w:val="24"/>
        </w:rPr>
        <w:t xml:space="preserve">    </w:t>
      </w:r>
    </w:p>
    <w:p w14:paraId="2484FCD7" w14:textId="77777777" w:rsidR="00E34D48" w:rsidRPr="003440AA" w:rsidRDefault="00E34D48" w:rsidP="00E34D48">
      <w:pPr>
        <w:contextualSpacing/>
        <w:rPr>
          <w:szCs w:val="24"/>
        </w:rPr>
      </w:pPr>
    </w:p>
    <w:p w14:paraId="1CE47D5A" w14:textId="24CF3FD2" w:rsidR="00E34D48" w:rsidRPr="003440AA" w:rsidRDefault="00E34D48" w:rsidP="00E34D48">
      <w:pPr>
        <w:jc w:val="both"/>
        <w:rPr>
          <w:szCs w:val="24"/>
          <w:highlight w:val="yellow"/>
        </w:rPr>
      </w:pPr>
      <w:r w:rsidRPr="003440AA">
        <w:rPr>
          <w:szCs w:val="24"/>
        </w:rPr>
        <w:t>Once again, we commend you for supporting this legislation, which is desperately needed to help survivors of childhood sexual abuse, and for taking up the cause of child sex abuse victims</w:t>
      </w:r>
      <w:r w:rsidR="00F33691">
        <w:rPr>
          <w:szCs w:val="24"/>
        </w:rPr>
        <w:t xml:space="preserve">.  An expanded definition of </w:t>
      </w:r>
      <w:r w:rsidR="00FE2B0D">
        <w:rPr>
          <w:szCs w:val="24"/>
        </w:rPr>
        <w:t>child sex</w:t>
      </w:r>
      <w:r w:rsidR="00F33691">
        <w:rPr>
          <w:szCs w:val="24"/>
        </w:rPr>
        <w:t xml:space="preserve"> trafficking, and the removal of consent as a defense to child sex trafficking, are important steps toward protecting Hawaii’s children.  We strongly urge you to reinstate the prior language extending the criminal SOL for child sex trafficking offenses.  </w:t>
      </w:r>
      <w:r w:rsidRPr="003440AA">
        <w:rPr>
          <w:szCs w:val="24"/>
        </w:rPr>
        <w:t>Hawaii’s children deserve SOL reform to protect them today and into the future.  Extending the time for survivors to file suit and opening a window for expired claims is a positive step for Hawaii’s children and families.  Please do not hesitate to contact us if you have questions regarding SOL reform or if we can be of assistance in any way on other child protection issues.</w:t>
      </w:r>
    </w:p>
    <w:p w14:paraId="247248A3" w14:textId="77777777" w:rsidR="00AD09C2" w:rsidRDefault="00AD09C2" w:rsidP="00E34D48">
      <w:pPr>
        <w:contextualSpacing/>
        <w:rPr>
          <w:szCs w:val="24"/>
        </w:rPr>
      </w:pPr>
    </w:p>
    <w:p w14:paraId="4F2F0AF4" w14:textId="77777777" w:rsidR="00AD09C2" w:rsidRDefault="00AD09C2" w:rsidP="00E34D48">
      <w:pPr>
        <w:contextualSpacing/>
        <w:rPr>
          <w:szCs w:val="24"/>
        </w:rPr>
      </w:pPr>
    </w:p>
    <w:p w14:paraId="2D70443F" w14:textId="77777777" w:rsidR="00AD09C2" w:rsidRDefault="00AD09C2" w:rsidP="00E34D48">
      <w:pPr>
        <w:contextualSpacing/>
        <w:rPr>
          <w:szCs w:val="24"/>
        </w:rPr>
      </w:pPr>
    </w:p>
    <w:p w14:paraId="09F375A3" w14:textId="77777777" w:rsidR="00AD09C2" w:rsidRDefault="00AD09C2" w:rsidP="00E34D48">
      <w:pPr>
        <w:contextualSpacing/>
        <w:rPr>
          <w:szCs w:val="24"/>
        </w:rPr>
      </w:pPr>
    </w:p>
    <w:p w14:paraId="7DD84B71" w14:textId="46F6ED1E" w:rsidR="00E34D48" w:rsidRPr="003440AA" w:rsidRDefault="00E34D48" w:rsidP="00E34D48">
      <w:pPr>
        <w:contextualSpacing/>
        <w:rPr>
          <w:szCs w:val="24"/>
        </w:rPr>
      </w:pPr>
      <w:r w:rsidRPr="003440AA">
        <w:rPr>
          <w:szCs w:val="24"/>
        </w:rPr>
        <w:t>Sincerely,</w:t>
      </w:r>
    </w:p>
    <w:p w14:paraId="6DD3191F" w14:textId="77777777" w:rsidR="00E34D48" w:rsidRPr="003440AA" w:rsidRDefault="00E34D48" w:rsidP="00E34D48">
      <w:pPr>
        <w:contextualSpacing/>
        <w:rPr>
          <w:szCs w:val="24"/>
        </w:rPr>
      </w:pPr>
      <w:r w:rsidRPr="003440AA">
        <w:rPr>
          <w:noProof/>
          <w:szCs w:val="24"/>
        </w:rPr>
        <w:drawing>
          <wp:inline distT="0" distB="0" distL="0" distR="0" wp14:anchorId="565837AD" wp14:editId="115CD087">
            <wp:extent cx="2603500" cy="558800"/>
            <wp:effectExtent l="0" t="0" r="6350"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3500" cy="558800"/>
                    </a:xfrm>
                    <a:prstGeom prst="rect">
                      <a:avLst/>
                    </a:prstGeom>
                    <a:noFill/>
                    <a:ln>
                      <a:noFill/>
                    </a:ln>
                  </pic:spPr>
                </pic:pic>
              </a:graphicData>
            </a:graphic>
          </wp:inline>
        </w:drawing>
      </w:r>
    </w:p>
    <w:p w14:paraId="5677A9D4" w14:textId="77777777" w:rsidR="00E34D48" w:rsidRPr="003440AA" w:rsidRDefault="00E34D48" w:rsidP="00E34D48">
      <w:pPr>
        <w:contextualSpacing/>
        <w:rPr>
          <w:szCs w:val="24"/>
        </w:rPr>
      </w:pPr>
      <w:r w:rsidRPr="003440AA">
        <w:rPr>
          <w:szCs w:val="24"/>
        </w:rPr>
        <w:t>Marci A. Hamilton, Esq.</w:t>
      </w:r>
    </w:p>
    <w:p w14:paraId="47BB15B0" w14:textId="77777777" w:rsidR="00E34D48" w:rsidRPr="003440AA" w:rsidRDefault="00E34D48" w:rsidP="00E34D48">
      <w:pPr>
        <w:rPr>
          <w:i/>
          <w:iCs/>
          <w:color w:val="000000"/>
          <w:szCs w:val="24"/>
        </w:rPr>
      </w:pPr>
      <w:r w:rsidRPr="003440AA">
        <w:rPr>
          <w:i/>
          <w:iCs/>
          <w:color w:val="000000"/>
          <w:szCs w:val="24"/>
        </w:rPr>
        <w:t>Founder, CEO &amp; Legal Director</w:t>
      </w:r>
    </w:p>
    <w:p w14:paraId="665EB4CD" w14:textId="5BF4AA9B" w:rsidR="00E34D48" w:rsidRPr="003440AA" w:rsidRDefault="00E34D48" w:rsidP="00E34D48">
      <w:pPr>
        <w:rPr>
          <w:color w:val="000000"/>
          <w:szCs w:val="24"/>
        </w:rPr>
      </w:pPr>
      <w:r w:rsidRPr="003440AA">
        <w:rPr>
          <w:color w:val="000000"/>
          <w:szCs w:val="24"/>
        </w:rPr>
        <w:t>CHILD USA</w:t>
      </w:r>
    </w:p>
    <w:p w14:paraId="5A4AF736" w14:textId="77777777" w:rsidR="00E34D48" w:rsidRPr="003440AA" w:rsidRDefault="00E34D48" w:rsidP="00E34D48">
      <w:pPr>
        <w:rPr>
          <w:color w:val="000000"/>
          <w:szCs w:val="24"/>
        </w:rPr>
      </w:pPr>
      <w:r w:rsidRPr="003440AA">
        <w:rPr>
          <w:bCs/>
          <w:color w:val="000000"/>
          <w:szCs w:val="24"/>
        </w:rPr>
        <w:t>3508</w:t>
      </w:r>
      <w:r w:rsidRPr="003440AA">
        <w:rPr>
          <w:color w:val="000000"/>
          <w:szCs w:val="24"/>
        </w:rPr>
        <w:t xml:space="preserve"> Market Street, Suite 202</w:t>
      </w:r>
    </w:p>
    <w:p w14:paraId="08FAAB30" w14:textId="77777777" w:rsidR="00E34D48" w:rsidRPr="003440AA" w:rsidRDefault="00E34D48" w:rsidP="00E34D48">
      <w:pPr>
        <w:rPr>
          <w:color w:val="000000"/>
          <w:szCs w:val="24"/>
        </w:rPr>
      </w:pPr>
      <w:r w:rsidRPr="003440AA">
        <w:rPr>
          <w:color w:val="000000"/>
          <w:szCs w:val="24"/>
        </w:rPr>
        <w:t>Philadelphia, PA 19104</w:t>
      </w:r>
    </w:p>
    <w:p w14:paraId="1385F861" w14:textId="77777777" w:rsidR="00E34D48" w:rsidRPr="003440AA" w:rsidRDefault="00E34D48" w:rsidP="00E34D48">
      <w:pPr>
        <w:rPr>
          <w:color w:val="000000"/>
          <w:szCs w:val="24"/>
        </w:rPr>
      </w:pPr>
      <w:r w:rsidRPr="003440AA">
        <w:rPr>
          <w:color w:val="000000"/>
          <w:szCs w:val="24"/>
        </w:rPr>
        <w:t>(215) 539-1906</w:t>
      </w:r>
    </w:p>
    <w:p w14:paraId="15964D99" w14:textId="77777777" w:rsidR="00E34D48" w:rsidRPr="003440AA" w:rsidRDefault="00E34D48" w:rsidP="00E34D48">
      <w:pPr>
        <w:contextualSpacing/>
        <w:rPr>
          <w:szCs w:val="24"/>
        </w:rPr>
      </w:pPr>
    </w:p>
    <w:p w14:paraId="422BAE70" w14:textId="77777777" w:rsidR="00E34D48" w:rsidRPr="003440AA" w:rsidRDefault="00E34D48" w:rsidP="00E34D48">
      <w:pPr>
        <w:contextualSpacing/>
        <w:rPr>
          <w:szCs w:val="24"/>
        </w:rPr>
      </w:pPr>
      <w:r w:rsidRPr="003440AA">
        <w:rPr>
          <w:noProof/>
          <w:szCs w:val="24"/>
        </w:rPr>
        <w:drawing>
          <wp:inline distT="0" distB="0" distL="0" distR="0" wp14:anchorId="30B87501" wp14:editId="2F6D766A">
            <wp:extent cx="1428750" cy="438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438150"/>
                    </a:xfrm>
                    <a:prstGeom prst="rect">
                      <a:avLst/>
                    </a:prstGeom>
                    <a:noFill/>
                    <a:ln>
                      <a:noFill/>
                    </a:ln>
                  </pic:spPr>
                </pic:pic>
              </a:graphicData>
            </a:graphic>
          </wp:inline>
        </w:drawing>
      </w:r>
    </w:p>
    <w:p w14:paraId="20CFDFF2" w14:textId="77777777" w:rsidR="00E34D48" w:rsidRPr="003440AA" w:rsidRDefault="00E34D48" w:rsidP="00E34D48">
      <w:pPr>
        <w:contextualSpacing/>
        <w:rPr>
          <w:szCs w:val="24"/>
        </w:rPr>
      </w:pPr>
      <w:r w:rsidRPr="003440AA">
        <w:rPr>
          <w:szCs w:val="24"/>
        </w:rPr>
        <w:lastRenderedPageBreak/>
        <w:t>Kathryn Robb, Esq.</w:t>
      </w:r>
    </w:p>
    <w:p w14:paraId="61CF17E9" w14:textId="77777777" w:rsidR="00E34D48" w:rsidRPr="003440AA" w:rsidRDefault="00E34D48" w:rsidP="00E34D48">
      <w:pPr>
        <w:contextualSpacing/>
        <w:rPr>
          <w:szCs w:val="24"/>
        </w:rPr>
      </w:pPr>
      <w:r w:rsidRPr="003440AA">
        <w:rPr>
          <w:szCs w:val="24"/>
        </w:rPr>
        <w:t>Executive Director</w:t>
      </w:r>
    </w:p>
    <w:p w14:paraId="60D52D0B" w14:textId="77777777" w:rsidR="00E34D48" w:rsidRPr="003440AA" w:rsidRDefault="00E34D48" w:rsidP="00E34D48">
      <w:pPr>
        <w:contextualSpacing/>
        <w:rPr>
          <w:szCs w:val="24"/>
        </w:rPr>
      </w:pPr>
      <w:r w:rsidRPr="003440AA">
        <w:rPr>
          <w:szCs w:val="24"/>
        </w:rPr>
        <w:t>CHILD USAdvocacy</w:t>
      </w:r>
    </w:p>
    <w:p w14:paraId="6D2DF24F" w14:textId="77777777" w:rsidR="00E34D48" w:rsidRPr="003440AA" w:rsidRDefault="00E34D48" w:rsidP="00E34D48">
      <w:pPr>
        <w:contextualSpacing/>
        <w:rPr>
          <w:szCs w:val="24"/>
        </w:rPr>
      </w:pPr>
      <w:r w:rsidRPr="003440AA">
        <w:rPr>
          <w:szCs w:val="24"/>
        </w:rPr>
        <w:t>3508 Market St., Suite 201</w:t>
      </w:r>
    </w:p>
    <w:p w14:paraId="16B5AF72" w14:textId="77777777" w:rsidR="00E34D48" w:rsidRPr="003440AA" w:rsidRDefault="00E34D48" w:rsidP="00E34D48">
      <w:pPr>
        <w:contextualSpacing/>
        <w:rPr>
          <w:szCs w:val="24"/>
        </w:rPr>
      </w:pPr>
      <w:r w:rsidRPr="003440AA">
        <w:rPr>
          <w:szCs w:val="24"/>
        </w:rPr>
        <w:t>Philadelphia, PA 19104</w:t>
      </w:r>
    </w:p>
    <w:bookmarkEnd w:id="0"/>
    <w:p w14:paraId="00ADC3EF" w14:textId="77777777" w:rsidR="00522BE0" w:rsidRPr="00522BE0" w:rsidRDefault="00522BE0" w:rsidP="00A27C49"/>
    <w:sectPr w:rsidR="00522BE0" w:rsidRPr="00522BE0" w:rsidSect="0068369C">
      <w:headerReference w:type="default" r:id="rId11"/>
      <w:footerReference w:type="default" r:id="rId12"/>
      <w:headerReference w:type="first" r:id="rId13"/>
      <w:footerReference w:type="first" r:id="rId14"/>
      <w:pgSz w:w="12240" w:h="15840"/>
      <w:pgMar w:top="1440" w:right="1440" w:bottom="1440" w:left="1440" w:header="576" w:footer="3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F8F01" w14:textId="77777777" w:rsidR="0059010C" w:rsidRDefault="0059010C">
      <w:r>
        <w:separator/>
      </w:r>
    </w:p>
  </w:endnote>
  <w:endnote w:type="continuationSeparator" w:id="0">
    <w:p w14:paraId="69AFA55F" w14:textId="77777777" w:rsidR="0059010C" w:rsidRDefault="0059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kton Pro Bold">
    <w:altName w:val="Cambri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F3A1E" w14:textId="77777777" w:rsidR="0068369C" w:rsidRDefault="0068369C">
    <w:pPr>
      <w:pStyle w:val="Footer"/>
      <w:jc w:val="center"/>
      <w:rPr>
        <w:rFonts w:ascii="Century Schoolbook" w:hAnsi="Century Schoolbook"/>
        <w:b/>
        <w:color w:val="052C64"/>
        <w:sz w:val="20"/>
      </w:rPr>
    </w:pPr>
  </w:p>
  <w:p w14:paraId="6D858256" w14:textId="77777777" w:rsidR="0068369C" w:rsidRDefault="0068369C" w:rsidP="0068369C">
    <w:pPr>
      <w:pStyle w:val="Footer"/>
      <w:jc w:val="center"/>
      <w:rPr>
        <w:rFonts w:ascii="Century Schoolbook" w:hAnsi="Century Schoolbook"/>
        <w:b/>
        <w:color w:val="052C64"/>
        <w:sz w:val="20"/>
      </w:rPr>
    </w:pPr>
    <w:r w:rsidRPr="0068369C">
      <w:rPr>
        <w:rFonts w:ascii="Century Schoolbook" w:hAnsi="Century Schoolbook"/>
        <w:b/>
        <w:color w:val="052C64"/>
        <w:sz w:val="20"/>
      </w:rPr>
      <w:t xml:space="preserve"> </w:t>
    </w:r>
  </w:p>
  <w:p w14:paraId="35E61DBF" w14:textId="29A25348" w:rsidR="0068369C" w:rsidRDefault="0059010C" w:rsidP="0068369C">
    <w:pPr>
      <w:pStyle w:val="Footer"/>
      <w:jc w:val="center"/>
      <w:rPr>
        <w:rFonts w:ascii="Century Schoolbook" w:hAnsi="Century Schoolbook"/>
        <w:b/>
        <w:color w:val="052C64"/>
        <w:sz w:val="20"/>
      </w:rPr>
    </w:pPr>
    <w:hyperlink r:id="rId1" w:history="1">
      <w:r w:rsidR="002F4E00" w:rsidRPr="00376C15">
        <w:rPr>
          <w:rStyle w:val="Hyperlink"/>
          <w:rFonts w:ascii="Century Schoolbook" w:hAnsi="Century Schoolbook"/>
          <w:b/>
          <w:sz w:val="20"/>
        </w:rPr>
        <w:t>www.childusa.org</w:t>
      </w:r>
    </w:hyperlink>
    <w:r w:rsidR="002F4E00">
      <w:rPr>
        <w:rFonts w:ascii="Century Schoolbook" w:hAnsi="Century Schoolbook"/>
        <w:b/>
        <w:color w:val="052C64"/>
        <w:sz w:val="20"/>
      </w:rPr>
      <w:t xml:space="preserve"> | childusadvocacy.org </w:t>
    </w:r>
  </w:p>
  <w:p w14:paraId="580FEFA4" w14:textId="77777777" w:rsidR="0068369C" w:rsidRPr="00CB5E29" w:rsidRDefault="0068369C">
    <w:pPr>
      <w:pStyle w:val="Footer"/>
      <w:jc w:val="center"/>
      <w:rPr>
        <w:rFonts w:ascii="Century Schoolbook" w:hAnsi="Century Schoolbook"/>
        <w:b/>
        <w:color w:val="052C6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1949B" w14:textId="2AD4F651" w:rsidR="0081451C" w:rsidRPr="00087395" w:rsidRDefault="00087395" w:rsidP="00087395">
    <w:pPr>
      <w:widowControl w:val="0"/>
      <w:autoSpaceDE w:val="0"/>
      <w:autoSpaceDN w:val="0"/>
      <w:adjustRightInd w:val="0"/>
      <w:rPr>
        <w:rFonts w:ascii="Avenir Book" w:hAnsi="Avenir Book"/>
        <w:color w:val="000000" w:themeColor="text1"/>
        <w:sz w:val="18"/>
        <w:szCs w:val="18"/>
      </w:rPr>
    </w:pPr>
    <w:r w:rsidRPr="00087395">
      <w:rPr>
        <w:rFonts w:ascii="Avenir Book" w:hAnsi="Avenir Book"/>
        <w:b/>
        <w:noProof/>
        <w:sz w:val="20"/>
      </w:rPr>
      <w:drawing>
        <wp:anchor distT="0" distB="0" distL="114300" distR="114300" simplePos="0" relativeHeight="251658240" behindDoc="0" locked="0" layoutInCell="1" allowOverlap="1" wp14:anchorId="2389D050" wp14:editId="074376E7">
          <wp:simplePos x="0" y="0"/>
          <wp:positionH relativeFrom="column">
            <wp:posOffset>5832071</wp:posOffset>
          </wp:positionH>
          <wp:positionV relativeFrom="paragraph">
            <wp:posOffset>-72533</wp:posOffset>
          </wp:positionV>
          <wp:extent cx="386200" cy="3698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 USA Icon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2089" cy="394664"/>
                  </a:xfrm>
                  <a:prstGeom prst="rect">
                    <a:avLst/>
                  </a:prstGeom>
                </pic:spPr>
              </pic:pic>
            </a:graphicData>
          </a:graphic>
          <wp14:sizeRelH relativeFrom="page">
            <wp14:pctWidth>0</wp14:pctWidth>
          </wp14:sizeRelH>
          <wp14:sizeRelV relativeFrom="page">
            <wp14:pctHeight>0</wp14:pctHeight>
          </wp14:sizeRelV>
        </wp:anchor>
      </w:drawing>
    </w:r>
    <w:r w:rsidRPr="00087395">
      <w:rPr>
        <w:rFonts w:ascii="Avenir Book" w:hAnsi="Avenir Book"/>
        <w:bCs/>
        <w:color w:val="000000" w:themeColor="text1"/>
        <w:sz w:val="18"/>
        <w:szCs w:val="18"/>
      </w:rPr>
      <w:t>CHILDUSA.org</w:t>
    </w:r>
    <w:r>
      <w:rPr>
        <w:rFonts w:ascii="Avenir Book" w:hAnsi="Avenir Book"/>
        <w:bCs/>
        <w:color w:val="000000" w:themeColor="text1"/>
        <w:sz w:val="18"/>
        <w:szCs w:val="18"/>
      </w:rPr>
      <w:t xml:space="preserve"> </w:t>
    </w:r>
    <w:r w:rsidR="0081451C" w:rsidRPr="00087395">
      <w:rPr>
        <w:rFonts w:ascii="Avenir Book" w:hAnsi="Avenir Book"/>
        <w:bCs/>
        <w:color w:val="000000" w:themeColor="text1"/>
        <w:sz w:val="18"/>
        <w:szCs w:val="18"/>
      </w:rPr>
      <w:t xml:space="preserve"> |</w:t>
    </w:r>
    <w:r>
      <w:rPr>
        <w:rFonts w:ascii="Avenir Book" w:hAnsi="Avenir Book"/>
        <w:bCs/>
        <w:color w:val="000000" w:themeColor="text1"/>
        <w:sz w:val="18"/>
        <w:szCs w:val="18"/>
      </w:rPr>
      <w:t xml:space="preserve"> </w:t>
    </w:r>
    <w:r w:rsidR="0081451C" w:rsidRPr="00087395">
      <w:rPr>
        <w:rFonts w:ascii="Avenir Book" w:hAnsi="Avenir Book"/>
        <w:bCs/>
        <w:color w:val="000000" w:themeColor="text1"/>
        <w:sz w:val="18"/>
        <w:szCs w:val="18"/>
      </w:rPr>
      <w:t xml:space="preserve"> 3</w:t>
    </w:r>
    <w:r w:rsidR="00D6655B" w:rsidRPr="00087395">
      <w:rPr>
        <w:rFonts w:ascii="Avenir Book" w:hAnsi="Avenir Book"/>
        <w:bCs/>
        <w:color w:val="000000" w:themeColor="text1"/>
        <w:sz w:val="18"/>
        <w:szCs w:val="18"/>
      </w:rPr>
      <w:t>5</w:t>
    </w:r>
    <w:r w:rsidR="003F3375" w:rsidRPr="00087395">
      <w:rPr>
        <w:rFonts w:ascii="Avenir Book" w:hAnsi="Avenir Book"/>
        <w:bCs/>
        <w:color w:val="000000" w:themeColor="text1"/>
        <w:sz w:val="18"/>
        <w:szCs w:val="18"/>
      </w:rPr>
      <w:t>08</w:t>
    </w:r>
    <w:r w:rsidR="0081451C" w:rsidRPr="00087395">
      <w:rPr>
        <w:rFonts w:ascii="Avenir Book" w:hAnsi="Avenir Book"/>
        <w:color w:val="000000" w:themeColor="text1"/>
        <w:sz w:val="18"/>
        <w:szCs w:val="18"/>
      </w:rPr>
      <w:t xml:space="preserve"> </w:t>
    </w:r>
    <w:r w:rsidR="003F3375" w:rsidRPr="00087395">
      <w:rPr>
        <w:rFonts w:ascii="Avenir Book" w:hAnsi="Avenir Book"/>
        <w:color w:val="000000" w:themeColor="text1"/>
        <w:sz w:val="18"/>
        <w:szCs w:val="18"/>
      </w:rPr>
      <w:t>Market</w:t>
    </w:r>
    <w:r w:rsidR="0081451C" w:rsidRPr="00087395">
      <w:rPr>
        <w:rFonts w:ascii="Avenir Book" w:hAnsi="Avenir Book"/>
        <w:color w:val="000000" w:themeColor="text1"/>
        <w:sz w:val="18"/>
        <w:szCs w:val="18"/>
      </w:rPr>
      <w:t xml:space="preserve"> Street, </w:t>
    </w:r>
    <w:r w:rsidR="00D6655B" w:rsidRPr="00087395">
      <w:rPr>
        <w:rFonts w:ascii="Avenir Book" w:hAnsi="Avenir Book"/>
        <w:color w:val="000000" w:themeColor="text1"/>
        <w:sz w:val="18"/>
        <w:szCs w:val="18"/>
      </w:rPr>
      <w:t>Suite 202</w:t>
    </w:r>
    <w:r>
      <w:rPr>
        <w:rFonts w:ascii="Avenir Book" w:hAnsi="Avenir Book"/>
        <w:color w:val="000000" w:themeColor="text1"/>
        <w:sz w:val="18"/>
        <w:szCs w:val="18"/>
      </w:rPr>
      <w:t xml:space="preserve"> </w:t>
    </w:r>
    <w:r w:rsidR="0081451C"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0081451C" w:rsidRPr="00087395">
      <w:rPr>
        <w:rFonts w:ascii="Avenir Book" w:hAnsi="Avenir Book"/>
        <w:color w:val="000000" w:themeColor="text1"/>
        <w:sz w:val="18"/>
        <w:szCs w:val="18"/>
      </w:rPr>
      <w:t xml:space="preserve"> Philadelphia, PA 19104</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hyperlink r:id="rId2" w:history="1">
      <w:r w:rsidRPr="00087395">
        <w:rPr>
          <w:rStyle w:val="Hyperlink"/>
          <w:rFonts w:ascii="Avenir Book" w:hAnsi="Avenir Book"/>
          <w:color w:val="000000" w:themeColor="text1"/>
          <w:sz w:val="18"/>
          <w:szCs w:val="18"/>
          <w:u w:val="none"/>
        </w:rPr>
        <w:t>info@childusa.org</w:t>
      </w:r>
    </w:hyperlink>
    <w:r>
      <w:rPr>
        <w:rFonts w:ascii="Avenir Book" w:hAnsi="Avenir Book"/>
        <w:color w:val="000000" w:themeColor="text1"/>
        <w:sz w:val="18"/>
        <w:szCs w:val="18"/>
      </w:rPr>
      <w:t xml:space="preserve"> </w:t>
    </w:r>
    <w:r w:rsidR="0081451C" w:rsidRPr="00087395">
      <w:rPr>
        <w:rFonts w:ascii="Avenir Book" w:hAnsi="Avenir Book"/>
        <w:color w:val="000000" w:themeColor="text1"/>
        <w:sz w:val="18"/>
        <w:szCs w:val="18"/>
      </w:rPr>
      <w:t xml:space="preserve"> |</w:t>
    </w:r>
    <w:r>
      <w:rPr>
        <w:rFonts w:ascii="Avenir Book" w:hAnsi="Avenir Book"/>
        <w:color w:val="000000" w:themeColor="text1"/>
        <w:sz w:val="18"/>
        <w:szCs w:val="18"/>
      </w:rPr>
      <w:t xml:space="preserve"> </w:t>
    </w:r>
    <w:r w:rsidRPr="00087395">
      <w:rPr>
        <w:rFonts w:ascii="Avenir Book" w:hAnsi="Avenir Book"/>
        <w:color w:val="000000" w:themeColor="text1"/>
        <w:sz w:val="18"/>
        <w:szCs w:val="18"/>
      </w:rPr>
      <w:t xml:space="preserve"> </w:t>
    </w:r>
    <w:r w:rsidR="00A27C49">
      <w:rPr>
        <w:rFonts w:ascii="Avenir Book" w:hAnsi="Avenir Book"/>
        <w:color w:val="000000" w:themeColor="text1"/>
        <w:sz w:val="18"/>
        <w:szCs w:val="18"/>
      </w:rPr>
      <w:t>childusadvocacy.org</w:t>
    </w:r>
  </w:p>
  <w:p w14:paraId="4C8EC005" w14:textId="27B4D5C9" w:rsidR="0081451C" w:rsidRPr="00087395" w:rsidRDefault="0081451C" w:rsidP="00087395">
    <w:pPr>
      <w:widowControl w:val="0"/>
      <w:autoSpaceDE w:val="0"/>
      <w:autoSpaceDN w:val="0"/>
      <w:adjustRightInd w:val="0"/>
      <w:spacing w:line="360" w:lineRule="auto"/>
      <w:jc w:val="center"/>
      <w:rPr>
        <w:rFonts w:ascii="Avenir Book" w:hAnsi="Avenir 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CBEA6" w14:textId="77777777" w:rsidR="0059010C" w:rsidRDefault="0059010C">
      <w:r>
        <w:separator/>
      </w:r>
    </w:p>
  </w:footnote>
  <w:footnote w:type="continuationSeparator" w:id="0">
    <w:p w14:paraId="3FE5CA42" w14:textId="77777777" w:rsidR="0059010C" w:rsidRDefault="0059010C">
      <w:r>
        <w:continuationSeparator/>
      </w:r>
    </w:p>
  </w:footnote>
  <w:footnote w:id="1">
    <w:p w14:paraId="656622D7" w14:textId="77777777" w:rsidR="003C6EC6" w:rsidRPr="003440AA" w:rsidRDefault="003C6EC6" w:rsidP="003C6EC6">
      <w:pPr>
        <w:pStyle w:val="FootnoteText"/>
        <w:jc w:val="both"/>
      </w:pPr>
      <w:r w:rsidRPr="003440AA">
        <w:rPr>
          <w:rStyle w:val="FootnoteReference"/>
        </w:rPr>
        <w:footnoteRef/>
      </w:r>
      <w:r w:rsidRPr="003440AA">
        <w:t xml:space="preserve"> </w:t>
      </w:r>
      <w:r w:rsidRPr="003440AA">
        <w:rPr>
          <w:i/>
          <w:iCs/>
        </w:rPr>
        <w:t>Global Report on Trafficking in Persons</w:t>
      </w:r>
      <w:r w:rsidRPr="003440AA">
        <w:t>,</w:t>
      </w:r>
      <w:r w:rsidRPr="003440AA">
        <w:rPr>
          <w:i/>
          <w:iCs/>
        </w:rPr>
        <w:t xml:space="preserve"> </w:t>
      </w:r>
      <w:r w:rsidRPr="003440AA">
        <w:t xml:space="preserve">UNODC, 33 (2018), available at https://www.unodc.org/documents/data-and-analysis/glotip/2018/GLOTiP_2018_BOOK_web_small.pdf. </w:t>
      </w:r>
    </w:p>
  </w:footnote>
  <w:footnote w:id="2">
    <w:p w14:paraId="1A53923C" w14:textId="77777777" w:rsidR="003C6EC6" w:rsidRPr="003440AA" w:rsidRDefault="003C6EC6" w:rsidP="003C6EC6">
      <w:pPr>
        <w:pStyle w:val="FootnoteText"/>
        <w:jc w:val="both"/>
      </w:pPr>
      <w:r w:rsidRPr="003440AA">
        <w:rPr>
          <w:rStyle w:val="FootnoteReference"/>
        </w:rPr>
        <w:footnoteRef/>
      </w:r>
      <w:r w:rsidRPr="003440AA">
        <w:t xml:space="preserve"> </w:t>
      </w:r>
      <w:r w:rsidRPr="003440AA">
        <w:rPr>
          <w:i/>
          <w:iCs/>
        </w:rPr>
        <w:t xml:space="preserve">Myths, Facts, and Statistics, </w:t>
      </w:r>
      <w:r w:rsidRPr="00EE7266">
        <w:rPr>
          <w:smallCaps/>
        </w:rPr>
        <w:t>Polaris Project</w:t>
      </w:r>
      <w:r w:rsidRPr="003440AA">
        <w:t xml:space="preserve"> (last visited February 11, 2021), available at https://polarisproject.org/myths-facts-and-statistics/. </w:t>
      </w:r>
    </w:p>
  </w:footnote>
  <w:footnote w:id="3">
    <w:p w14:paraId="131DD281" w14:textId="77777777" w:rsidR="003C6EC6" w:rsidRPr="003440AA" w:rsidRDefault="003C6EC6" w:rsidP="003C6EC6">
      <w:pPr>
        <w:pStyle w:val="FootnoteText"/>
        <w:jc w:val="both"/>
      </w:pPr>
      <w:r w:rsidRPr="003440AA">
        <w:rPr>
          <w:rStyle w:val="FootnoteReference"/>
        </w:rPr>
        <w:footnoteRef/>
      </w:r>
      <w:r w:rsidRPr="003440AA">
        <w:t xml:space="preserve"> K. Tate Chambers, Ed., </w:t>
      </w:r>
      <w:r w:rsidRPr="003440AA">
        <w:rPr>
          <w:i/>
          <w:iCs/>
        </w:rPr>
        <w:t>Human Trafficking</w:t>
      </w:r>
      <w:r w:rsidRPr="003440AA">
        <w:t xml:space="preserve">, 65 </w:t>
      </w:r>
      <w:r w:rsidRPr="00EE7266">
        <w:rPr>
          <w:smallCaps/>
        </w:rPr>
        <w:t>U.S. Attorney’s Bulletin</w:t>
      </w:r>
      <w:r w:rsidRPr="003440AA">
        <w:t xml:space="preserve">, 33 (Nov. 2017), available at https://www.justice.gov/usao/page/file/1008856/download. </w:t>
      </w:r>
    </w:p>
  </w:footnote>
  <w:footnote w:id="4">
    <w:p w14:paraId="08B9D7E3" w14:textId="77777777" w:rsidR="002F43F7" w:rsidRPr="003440AA" w:rsidRDefault="002F43F7" w:rsidP="002F43F7">
      <w:pPr>
        <w:pStyle w:val="FootnoteText"/>
        <w:jc w:val="both"/>
      </w:pPr>
      <w:r w:rsidRPr="003440AA">
        <w:rPr>
          <w:rStyle w:val="FootnoteReference"/>
        </w:rPr>
        <w:footnoteRef/>
      </w:r>
      <w:r w:rsidRPr="003440AA">
        <w:t xml:space="preserve"> 22 U.S.C. § 7102(11)(a).  </w:t>
      </w:r>
    </w:p>
  </w:footnote>
  <w:footnote w:id="5">
    <w:p w14:paraId="2B40F826" w14:textId="546F7D9A" w:rsidR="008038CB" w:rsidRDefault="008038CB">
      <w:pPr>
        <w:pStyle w:val="FootnoteText"/>
      </w:pPr>
      <w:r>
        <w:rPr>
          <w:rStyle w:val="FootnoteReference"/>
        </w:rPr>
        <w:footnoteRef/>
      </w:r>
      <w:r>
        <w:t xml:space="preserve"> </w:t>
      </w:r>
      <w:r w:rsidRPr="003440AA">
        <w:t>22 U.S.C. § 7102(1</w:t>
      </w:r>
      <w:r>
        <w:t xml:space="preserve">2). </w:t>
      </w:r>
    </w:p>
  </w:footnote>
  <w:footnote w:id="6">
    <w:p w14:paraId="76081022" w14:textId="77777777" w:rsidR="00A301C7" w:rsidRDefault="00A301C7" w:rsidP="00A301C7">
      <w:pPr>
        <w:pStyle w:val="FootnoteText"/>
        <w:jc w:val="both"/>
      </w:pPr>
      <w:r>
        <w:rPr>
          <w:rStyle w:val="FootnoteReference"/>
        </w:rPr>
        <w:footnoteRef/>
      </w:r>
      <w:r>
        <w:t xml:space="preserve"> </w:t>
      </w:r>
      <w:r w:rsidRPr="00EE7266">
        <w:rPr>
          <w:smallCaps/>
        </w:rPr>
        <w:t>Haw. Rev. Stat. Ann</w:t>
      </w:r>
      <w:r>
        <w:t>. § 701-108.</w:t>
      </w:r>
    </w:p>
  </w:footnote>
  <w:footnote w:id="7">
    <w:p w14:paraId="1B7BE47C" w14:textId="77777777" w:rsidR="00E34D48" w:rsidRPr="003440AA" w:rsidRDefault="00E34D48" w:rsidP="005F77F2">
      <w:pPr>
        <w:pStyle w:val="FootnoteText"/>
        <w:jc w:val="both"/>
        <w:rPr>
          <w:color w:val="000000" w:themeColor="text1"/>
        </w:rPr>
      </w:pPr>
      <w:r w:rsidRPr="003440AA">
        <w:rPr>
          <w:rStyle w:val="FootnoteReference"/>
        </w:rPr>
        <w:footnoteRef/>
      </w:r>
      <w:r w:rsidRPr="003440AA">
        <w:t xml:space="preserve"> CHILD USA, </w:t>
      </w:r>
      <w:r w:rsidRPr="003440AA">
        <w:rPr>
          <w:i/>
        </w:rPr>
        <w:t>Delayed Disclosure: A Factsheet Based on Cutting-Edge Research on Child Sex Abuse</w:t>
      </w:r>
      <w:r w:rsidRPr="003440AA">
        <w:t xml:space="preserve">, CHILDUSA.ORG, 3 (Mar. 2020) available at https://childusa.org/wpcontent/uploads/2020/04/Delayed-Disclosure-Factsheet-2020.pdf. </w:t>
      </w:r>
    </w:p>
  </w:footnote>
  <w:footnote w:id="8">
    <w:p w14:paraId="45882728" w14:textId="77777777" w:rsidR="00E34D48" w:rsidRPr="003440AA" w:rsidRDefault="00E34D48" w:rsidP="005F77F2">
      <w:pPr>
        <w:jc w:val="both"/>
        <w:rPr>
          <w:sz w:val="20"/>
        </w:rPr>
      </w:pPr>
      <w:r w:rsidRPr="003440AA">
        <w:rPr>
          <w:sz w:val="20"/>
          <w:vertAlign w:val="superscript"/>
        </w:rPr>
        <w:footnoteRef/>
      </w:r>
      <w:r w:rsidRPr="003440AA">
        <w:rPr>
          <w:sz w:val="20"/>
        </w:rPr>
        <w:t xml:space="preserve"> 2020 SOL Report, </w:t>
      </w:r>
      <w:r w:rsidRPr="003440AA">
        <w:rPr>
          <w:smallCaps/>
          <w:sz w:val="20"/>
        </w:rPr>
        <w:t>childusa.org</w:t>
      </w:r>
      <w:r w:rsidRPr="003440AA">
        <w:rPr>
          <w:sz w:val="20"/>
        </w:rPr>
        <w:t xml:space="preserve"> (last visited Feb. 10, 2021), available at www.childusa.org/sol-report-2020.</w:t>
      </w:r>
    </w:p>
  </w:footnote>
  <w:footnote w:id="9">
    <w:p w14:paraId="13530792" w14:textId="77777777" w:rsidR="00E34D48" w:rsidRPr="003440AA" w:rsidRDefault="00E34D48" w:rsidP="005F77F2">
      <w:pPr>
        <w:jc w:val="both"/>
        <w:rPr>
          <w:sz w:val="20"/>
        </w:rPr>
      </w:pPr>
      <w:r w:rsidRPr="003440AA">
        <w:rPr>
          <w:sz w:val="20"/>
          <w:vertAlign w:val="superscript"/>
        </w:rPr>
        <w:footnoteRef/>
      </w:r>
      <w:r w:rsidRPr="003440AA">
        <w:rPr>
          <w:sz w:val="20"/>
        </w:rPr>
        <w:t xml:space="preserve"> For more information on SOL reform in 2019, visit </w:t>
      </w:r>
      <w:r w:rsidRPr="003440AA">
        <w:rPr>
          <w:i/>
          <w:sz w:val="20"/>
        </w:rPr>
        <w:t>2019 Summary of Child Sexual Abuse Statutes of Limitations (SOLs): Introduced, Signed into Law and State Laws by Category</w:t>
      </w:r>
      <w:r w:rsidRPr="003440AA">
        <w:rPr>
          <w:sz w:val="20"/>
        </w:rPr>
        <w:t xml:space="preserve">, </w:t>
      </w:r>
      <w:r w:rsidRPr="003440AA">
        <w:rPr>
          <w:smallCaps/>
          <w:sz w:val="20"/>
        </w:rPr>
        <w:t>childusa.org</w:t>
      </w:r>
      <w:r w:rsidRPr="003440AA">
        <w:rPr>
          <w:sz w:val="20"/>
        </w:rPr>
        <w:t xml:space="preserve"> (last visited Jan. 22, 2021), available at www.childusa.org/2019sol.</w:t>
      </w:r>
    </w:p>
  </w:footnote>
  <w:footnote w:id="10">
    <w:p w14:paraId="73561DF0" w14:textId="77777777" w:rsidR="00E34D48" w:rsidRPr="003440AA" w:rsidRDefault="00E34D48" w:rsidP="005F77F2">
      <w:pPr>
        <w:jc w:val="both"/>
        <w:rPr>
          <w:sz w:val="20"/>
        </w:rPr>
      </w:pPr>
      <w:r w:rsidRPr="003440AA">
        <w:rPr>
          <w:sz w:val="20"/>
          <w:vertAlign w:val="superscript"/>
        </w:rPr>
        <w:footnoteRef/>
      </w:r>
      <w:r w:rsidRPr="003440AA">
        <w:rPr>
          <w:sz w:val="20"/>
        </w:rPr>
        <w:t xml:space="preserve"> </w:t>
      </w:r>
      <w:r w:rsidRPr="003440AA">
        <w:rPr>
          <w:i/>
          <w:sz w:val="20"/>
        </w:rPr>
        <w:t>See</w:t>
      </w:r>
      <w:r w:rsidRPr="003440AA">
        <w:rPr>
          <w:sz w:val="20"/>
        </w:rPr>
        <w:t xml:space="preserve"> </w:t>
      </w:r>
      <w:r w:rsidRPr="003440AA">
        <w:rPr>
          <w:i/>
          <w:sz w:val="20"/>
        </w:rPr>
        <w:t>2020 SOL Summary</w:t>
      </w:r>
      <w:r w:rsidRPr="003440AA">
        <w:rPr>
          <w:sz w:val="20"/>
        </w:rPr>
        <w:t xml:space="preserve">, </w:t>
      </w:r>
      <w:r w:rsidRPr="003440AA">
        <w:rPr>
          <w:smallCaps/>
          <w:sz w:val="20"/>
        </w:rPr>
        <w:t>childusa.org</w:t>
      </w:r>
      <w:r w:rsidRPr="003440AA">
        <w:rPr>
          <w:sz w:val="20"/>
        </w:rPr>
        <w:t xml:space="preserve"> (last visited Jan. 30, 2021), available at www.childusa.org/2020sol.</w:t>
      </w:r>
    </w:p>
  </w:footnote>
  <w:footnote w:id="11">
    <w:p w14:paraId="49C77F57" w14:textId="77777777" w:rsidR="00E34D48" w:rsidRPr="003440AA" w:rsidRDefault="00E34D48" w:rsidP="005F77F2">
      <w:pPr>
        <w:pStyle w:val="FootnoteText"/>
        <w:jc w:val="both"/>
        <w:rPr>
          <w:iCs/>
        </w:rPr>
      </w:pPr>
      <w:r w:rsidRPr="003440AA">
        <w:rPr>
          <w:rStyle w:val="FootnoteReference"/>
        </w:rPr>
        <w:footnoteRef/>
      </w:r>
      <w:r w:rsidRPr="003440AA">
        <w:t xml:space="preserve"> </w:t>
      </w:r>
      <w:r w:rsidRPr="003440AA">
        <w:rPr>
          <w:i/>
        </w:rPr>
        <w:t>See</w:t>
      </w:r>
      <w:r w:rsidRPr="003440AA">
        <w:t xml:space="preserve"> </w:t>
      </w:r>
      <w:r w:rsidRPr="003440AA">
        <w:rPr>
          <w:i/>
        </w:rPr>
        <w:t>id</w:t>
      </w:r>
      <w:r w:rsidRPr="003440AA">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2470207"/>
      <w:docPartObj>
        <w:docPartGallery w:val="Page Numbers (Top of Page)"/>
        <w:docPartUnique/>
      </w:docPartObj>
    </w:sdtPr>
    <w:sdtEndPr>
      <w:rPr>
        <w:noProof/>
      </w:rPr>
    </w:sdtEndPr>
    <w:sdtContent>
      <w:p w14:paraId="6F51BE76" w14:textId="065B3D03" w:rsidR="00E34D48" w:rsidRDefault="00E34D4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D68D071" w14:textId="6CF0DCC1" w:rsidR="0081451C" w:rsidRPr="00CB5E29" w:rsidRDefault="0081451C">
    <w:pPr>
      <w:pStyle w:val="Header"/>
      <w:jc w:val="center"/>
      <w:rPr>
        <w:rFonts w:ascii="Century Schoolbook" w:hAnsi="Century Schoolbook"/>
        <w:b/>
        <w:color w:val="052C6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A8987" w14:textId="5C057F8B" w:rsidR="0081451C" w:rsidRDefault="00A27C49" w:rsidP="007A2278">
    <w:pPr>
      <w:pStyle w:val="Header"/>
      <w:jc w:val="center"/>
    </w:pPr>
    <w:r>
      <w:rPr>
        <w:noProof/>
      </w:rPr>
      <w:drawing>
        <wp:inline distT="0" distB="0" distL="0" distR="0" wp14:anchorId="59FAEBA2" wp14:editId="6744480F">
          <wp:extent cx="2593340" cy="665805"/>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7D8B9-1E5F-4E00-BF05-8A0EB5D7606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57164" cy="682191"/>
                  </a:xfrm>
                  <a:prstGeom prst="rect">
                    <a:avLst/>
                  </a:prstGeom>
                  <a:noFill/>
                  <a:ln>
                    <a:noFill/>
                  </a:ln>
                </pic:spPr>
              </pic:pic>
            </a:graphicData>
          </a:graphic>
        </wp:inline>
      </w:drawing>
    </w:r>
    <w:r w:rsidR="00087395">
      <w:rPr>
        <w:noProof/>
      </w:rPr>
      <w:drawing>
        <wp:inline distT="0" distB="0" distL="0" distR="0" wp14:anchorId="554CC5A2" wp14:editId="3DCA39DF">
          <wp:extent cx="2491719" cy="51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um file.png"/>
                  <pic:cNvPicPr/>
                </pic:nvPicPr>
                <pic:blipFill rotWithShape="1">
                  <a:blip r:embed="rId3"/>
                  <a:srcRect t="31661" b="31778"/>
                  <a:stretch/>
                </pic:blipFill>
                <pic:spPr bwMode="auto">
                  <a:xfrm>
                    <a:off x="0" y="0"/>
                    <a:ext cx="2576209" cy="529821"/>
                  </a:xfrm>
                  <a:prstGeom prst="rect">
                    <a:avLst/>
                  </a:prstGeom>
                  <a:ln>
                    <a:noFill/>
                  </a:ln>
                  <a:extLst>
                    <a:ext uri="{53640926-AAD7-44D8-BBD7-CCE9431645EC}">
                      <a14:shadowObscured xmlns:a14="http://schemas.microsoft.com/office/drawing/2010/main"/>
                    </a:ext>
                  </a:extLst>
                </pic:spPr>
              </pic:pic>
            </a:graphicData>
          </a:graphic>
        </wp:inline>
      </w:drawing>
    </w:r>
  </w:p>
  <w:p w14:paraId="6C1AE485" w14:textId="77777777" w:rsidR="0081451C" w:rsidRPr="00150972" w:rsidRDefault="0081451C" w:rsidP="00200B68">
    <w:pPr>
      <w:pStyle w:val="Header"/>
      <w:rPr>
        <w:rFonts w:ascii="Baskerville Old Face" w:hAnsi="Baskerville Old Face"/>
        <w:color w:val="1F3864" w:themeColor="accent5" w:themeShade="8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1080"/>
        </w:tabs>
        <w:ind w:left="1080" w:hanging="360"/>
      </w:pPr>
    </w:lvl>
  </w:abstractNum>
  <w:abstractNum w:abstractNumId="1" w15:restartNumberingAfterBreak="0">
    <w:nsid w:val="01BF3E3D"/>
    <w:multiLevelType w:val="hybridMultilevel"/>
    <w:tmpl w:val="4DEA7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5AB"/>
    <w:multiLevelType w:val="hybridMultilevel"/>
    <w:tmpl w:val="3C609D40"/>
    <w:lvl w:ilvl="0" w:tplc="55CE32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031CD"/>
    <w:multiLevelType w:val="hybridMultilevel"/>
    <w:tmpl w:val="6A4EC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361B"/>
    <w:multiLevelType w:val="hybridMultilevel"/>
    <w:tmpl w:val="602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A0C9B"/>
    <w:multiLevelType w:val="hybridMultilevel"/>
    <w:tmpl w:val="AA46E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A2A3A"/>
    <w:multiLevelType w:val="hybridMultilevel"/>
    <w:tmpl w:val="348C4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EF7412"/>
    <w:multiLevelType w:val="hybridMultilevel"/>
    <w:tmpl w:val="5A6C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938F2"/>
    <w:multiLevelType w:val="hybridMultilevel"/>
    <w:tmpl w:val="7230F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22044"/>
    <w:multiLevelType w:val="hybridMultilevel"/>
    <w:tmpl w:val="08B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4549F"/>
    <w:multiLevelType w:val="hybridMultilevel"/>
    <w:tmpl w:val="9F145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F7769"/>
    <w:multiLevelType w:val="hybridMultilevel"/>
    <w:tmpl w:val="775EF2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C22D0"/>
    <w:multiLevelType w:val="hybridMultilevel"/>
    <w:tmpl w:val="6E2C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B3DFA"/>
    <w:multiLevelType w:val="hybridMultilevel"/>
    <w:tmpl w:val="D3C0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025CA"/>
    <w:multiLevelType w:val="hybridMultilevel"/>
    <w:tmpl w:val="D28E3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247DA"/>
    <w:multiLevelType w:val="hybridMultilevel"/>
    <w:tmpl w:val="6C68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91425"/>
    <w:multiLevelType w:val="hybridMultilevel"/>
    <w:tmpl w:val="0CAEE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20B86"/>
    <w:multiLevelType w:val="hybridMultilevel"/>
    <w:tmpl w:val="BCFC8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11B32"/>
    <w:multiLevelType w:val="hybridMultilevel"/>
    <w:tmpl w:val="4156D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238E8"/>
    <w:multiLevelType w:val="hybridMultilevel"/>
    <w:tmpl w:val="AC3E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8"/>
  </w:num>
  <w:num w:numId="4">
    <w:abstractNumId w:val="5"/>
  </w:num>
  <w:num w:numId="5">
    <w:abstractNumId w:val="14"/>
  </w:num>
  <w:num w:numId="6">
    <w:abstractNumId w:val="10"/>
  </w:num>
  <w:num w:numId="7">
    <w:abstractNumId w:val="18"/>
  </w:num>
  <w:num w:numId="8">
    <w:abstractNumId w:val="11"/>
  </w:num>
  <w:num w:numId="9">
    <w:abstractNumId w:val="16"/>
  </w:num>
  <w:num w:numId="10">
    <w:abstractNumId w:val="3"/>
  </w:num>
  <w:num w:numId="11">
    <w:abstractNumId w:val="19"/>
  </w:num>
  <w:num w:numId="12">
    <w:abstractNumId w:val="12"/>
  </w:num>
  <w:num w:numId="13">
    <w:abstractNumId w:val="13"/>
  </w:num>
  <w:num w:numId="14">
    <w:abstractNumId w:val="9"/>
  </w:num>
  <w:num w:numId="15">
    <w:abstractNumId w:val="4"/>
  </w:num>
  <w:num w:numId="16">
    <w:abstractNumId w:val="15"/>
  </w:num>
  <w:num w:numId="17">
    <w:abstractNumId w:val="7"/>
  </w:num>
  <w:num w:numId="18">
    <w:abstractNumId w:val="1"/>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50"/>
    <w:rsid w:val="00004D69"/>
    <w:rsid w:val="00051814"/>
    <w:rsid w:val="00053324"/>
    <w:rsid w:val="00067E21"/>
    <w:rsid w:val="00086597"/>
    <w:rsid w:val="00087395"/>
    <w:rsid w:val="00092D8B"/>
    <w:rsid w:val="000A4777"/>
    <w:rsid w:val="000E025E"/>
    <w:rsid w:val="000E0EA8"/>
    <w:rsid w:val="000E36D2"/>
    <w:rsid w:val="00100E7B"/>
    <w:rsid w:val="00104A19"/>
    <w:rsid w:val="00150972"/>
    <w:rsid w:val="001711ED"/>
    <w:rsid w:val="0019514B"/>
    <w:rsid w:val="00200B68"/>
    <w:rsid w:val="0022593D"/>
    <w:rsid w:val="00231FED"/>
    <w:rsid w:val="00240C7B"/>
    <w:rsid w:val="002514EC"/>
    <w:rsid w:val="00263D74"/>
    <w:rsid w:val="00286CCE"/>
    <w:rsid w:val="002971A9"/>
    <w:rsid w:val="002A4092"/>
    <w:rsid w:val="002C08EE"/>
    <w:rsid w:val="002C6183"/>
    <w:rsid w:val="002D69B5"/>
    <w:rsid w:val="002F2982"/>
    <w:rsid w:val="002F43F7"/>
    <w:rsid w:val="002F4E00"/>
    <w:rsid w:val="003050A9"/>
    <w:rsid w:val="003054F3"/>
    <w:rsid w:val="00325093"/>
    <w:rsid w:val="00325D4A"/>
    <w:rsid w:val="00343C3A"/>
    <w:rsid w:val="00354412"/>
    <w:rsid w:val="00357216"/>
    <w:rsid w:val="003629C2"/>
    <w:rsid w:val="00366E9F"/>
    <w:rsid w:val="00382066"/>
    <w:rsid w:val="00382EA0"/>
    <w:rsid w:val="003A0E5E"/>
    <w:rsid w:val="003B2A66"/>
    <w:rsid w:val="003C6EC6"/>
    <w:rsid w:val="003D03C7"/>
    <w:rsid w:val="003E697C"/>
    <w:rsid w:val="003F3375"/>
    <w:rsid w:val="003F6490"/>
    <w:rsid w:val="003F7762"/>
    <w:rsid w:val="0040335F"/>
    <w:rsid w:val="004231A5"/>
    <w:rsid w:val="00423850"/>
    <w:rsid w:val="0045105F"/>
    <w:rsid w:val="00465804"/>
    <w:rsid w:val="00482542"/>
    <w:rsid w:val="004A607A"/>
    <w:rsid w:val="004D30F9"/>
    <w:rsid w:val="004D317C"/>
    <w:rsid w:val="00522BE0"/>
    <w:rsid w:val="00527CF7"/>
    <w:rsid w:val="00565BD8"/>
    <w:rsid w:val="0059010C"/>
    <w:rsid w:val="00595BA2"/>
    <w:rsid w:val="005F055E"/>
    <w:rsid w:val="005F77F2"/>
    <w:rsid w:val="00666ED7"/>
    <w:rsid w:val="00666F7D"/>
    <w:rsid w:val="0067182E"/>
    <w:rsid w:val="00676391"/>
    <w:rsid w:val="0068369C"/>
    <w:rsid w:val="00685DB1"/>
    <w:rsid w:val="006B3290"/>
    <w:rsid w:val="006D1BF7"/>
    <w:rsid w:val="006F0F3F"/>
    <w:rsid w:val="006F6852"/>
    <w:rsid w:val="00732FDD"/>
    <w:rsid w:val="00733085"/>
    <w:rsid w:val="00735883"/>
    <w:rsid w:val="007A2278"/>
    <w:rsid w:val="007D450D"/>
    <w:rsid w:val="007D555F"/>
    <w:rsid w:val="007F2E6E"/>
    <w:rsid w:val="00801A11"/>
    <w:rsid w:val="008038CB"/>
    <w:rsid w:val="00810A80"/>
    <w:rsid w:val="008115E0"/>
    <w:rsid w:val="0081451C"/>
    <w:rsid w:val="00860CEF"/>
    <w:rsid w:val="008724B9"/>
    <w:rsid w:val="00893457"/>
    <w:rsid w:val="008A095F"/>
    <w:rsid w:val="008C4083"/>
    <w:rsid w:val="008D4F78"/>
    <w:rsid w:val="00903D0E"/>
    <w:rsid w:val="00940201"/>
    <w:rsid w:val="009426AB"/>
    <w:rsid w:val="009728D3"/>
    <w:rsid w:val="00973679"/>
    <w:rsid w:val="00990D05"/>
    <w:rsid w:val="00992071"/>
    <w:rsid w:val="00992C4A"/>
    <w:rsid w:val="00993A48"/>
    <w:rsid w:val="00996BCE"/>
    <w:rsid w:val="009A0C40"/>
    <w:rsid w:val="009B43CC"/>
    <w:rsid w:val="009B72D9"/>
    <w:rsid w:val="009D093B"/>
    <w:rsid w:val="009F5E6A"/>
    <w:rsid w:val="00A046AA"/>
    <w:rsid w:val="00A27C49"/>
    <w:rsid w:val="00A301C7"/>
    <w:rsid w:val="00A353DB"/>
    <w:rsid w:val="00A45DB9"/>
    <w:rsid w:val="00A5593E"/>
    <w:rsid w:val="00A8394C"/>
    <w:rsid w:val="00AA7C07"/>
    <w:rsid w:val="00AB2640"/>
    <w:rsid w:val="00AB6E59"/>
    <w:rsid w:val="00AC32B2"/>
    <w:rsid w:val="00AC77AD"/>
    <w:rsid w:val="00AC7E56"/>
    <w:rsid w:val="00AD09C2"/>
    <w:rsid w:val="00B20E65"/>
    <w:rsid w:val="00B36935"/>
    <w:rsid w:val="00B419CB"/>
    <w:rsid w:val="00B70203"/>
    <w:rsid w:val="00B771E3"/>
    <w:rsid w:val="00B87348"/>
    <w:rsid w:val="00BB2D12"/>
    <w:rsid w:val="00BB4805"/>
    <w:rsid w:val="00BC0470"/>
    <w:rsid w:val="00BD294E"/>
    <w:rsid w:val="00BD37C2"/>
    <w:rsid w:val="00BF747A"/>
    <w:rsid w:val="00C3141D"/>
    <w:rsid w:val="00C37EAA"/>
    <w:rsid w:val="00C42346"/>
    <w:rsid w:val="00C46EBB"/>
    <w:rsid w:val="00C5629B"/>
    <w:rsid w:val="00C77E84"/>
    <w:rsid w:val="00C83976"/>
    <w:rsid w:val="00C967AC"/>
    <w:rsid w:val="00CA15AB"/>
    <w:rsid w:val="00CA5DC4"/>
    <w:rsid w:val="00CB5E29"/>
    <w:rsid w:val="00CC0912"/>
    <w:rsid w:val="00CC0974"/>
    <w:rsid w:val="00CD01FE"/>
    <w:rsid w:val="00CD20F2"/>
    <w:rsid w:val="00CE4A44"/>
    <w:rsid w:val="00CF7E7A"/>
    <w:rsid w:val="00D06D6D"/>
    <w:rsid w:val="00D13119"/>
    <w:rsid w:val="00D26ED8"/>
    <w:rsid w:val="00D33351"/>
    <w:rsid w:val="00D349D1"/>
    <w:rsid w:val="00D4061D"/>
    <w:rsid w:val="00D52158"/>
    <w:rsid w:val="00D6655B"/>
    <w:rsid w:val="00D72FA4"/>
    <w:rsid w:val="00D749E9"/>
    <w:rsid w:val="00DC6718"/>
    <w:rsid w:val="00DC79F0"/>
    <w:rsid w:val="00DF473D"/>
    <w:rsid w:val="00DF4F17"/>
    <w:rsid w:val="00DF7A3D"/>
    <w:rsid w:val="00E264A2"/>
    <w:rsid w:val="00E34D48"/>
    <w:rsid w:val="00E468EE"/>
    <w:rsid w:val="00E6578C"/>
    <w:rsid w:val="00E859DE"/>
    <w:rsid w:val="00EA115F"/>
    <w:rsid w:val="00EC524C"/>
    <w:rsid w:val="00ED0DE3"/>
    <w:rsid w:val="00EF13AC"/>
    <w:rsid w:val="00F33691"/>
    <w:rsid w:val="00F3667C"/>
    <w:rsid w:val="00F41D16"/>
    <w:rsid w:val="00F52C01"/>
    <w:rsid w:val="00F63896"/>
    <w:rsid w:val="00F715F5"/>
    <w:rsid w:val="00F729C4"/>
    <w:rsid w:val="00F82648"/>
    <w:rsid w:val="00F920E5"/>
    <w:rsid w:val="00FB098C"/>
    <w:rsid w:val="00FB264D"/>
    <w:rsid w:val="00FB52C6"/>
    <w:rsid w:val="00FD7F80"/>
    <w:rsid w:val="00FE2B0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9DB993"/>
  <w15:docId w15:val="{6686C59B-474E-4E8D-97B2-6E9A18E8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93D"/>
    <w:rPr>
      <w:sz w:val="24"/>
    </w:rPr>
  </w:style>
  <w:style w:type="paragraph" w:styleId="Heading1">
    <w:name w:val="heading 1"/>
    <w:basedOn w:val="Normal"/>
    <w:next w:val="Normal"/>
    <w:qFormat/>
    <w:rsid w:val="0022593D"/>
    <w:pPr>
      <w:keepNext/>
      <w:tabs>
        <w:tab w:val="left" w:pos="1680"/>
      </w:tabs>
      <w:spacing w:line="260" w:lineRule="exact"/>
      <w:outlineLvl w:val="0"/>
    </w:pPr>
    <w:rPr>
      <w:rFonts w:ascii="Tekton Pro Bold" w:hAnsi="Tekton Pro Bold"/>
      <w:i/>
      <w:kern w:val="6"/>
      <w:sz w:val="22"/>
    </w:rPr>
  </w:style>
  <w:style w:type="paragraph" w:styleId="Heading2">
    <w:name w:val="heading 2"/>
    <w:basedOn w:val="Normal"/>
    <w:next w:val="Normal"/>
    <w:qFormat/>
    <w:rsid w:val="0022593D"/>
    <w:pPr>
      <w:keepNext/>
      <w:tabs>
        <w:tab w:val="center" w:pos="4320"/>
        <w:tab w:val="left" w:pos="6940"/>
      </w:tabs>
      <w:outlineLvl w:val="1"/>
    </w:pPr>
    <w:rPr>
      <w:rFonts w:ascii="Helvetica" w:hAnsi="Helvetica"/>
      <w:b/>
      <w:color w:val="CCCC99"/>
      <w:kern w:val="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93D"/>
    <w:pPr>
      <w:tabs>
        <w:tab w:val="center" w:pos="4320"/>
        <w:tab w:val="right" w:pos="8640"/>
      </w:tabs>
    </w:pPr>
  </w:style>
  <w:style w:type="paragraph" w:styleId="Footer">
    <w:name w:val="footer"/>
    <w:basedOn w:val="Normal"/>
    <w:link w:val="FooterChar"/>
    <w:uiPriority w:val="99"/>
    <w:rsid w:val="0022593D"/>
    <w:pPr>
      <w:tabs>
        <w:tab w:val="center" w:pos="4320"/>
        <w:tab w:val="right" w:pos="8640"/>
      </w:tabs>
    </w:pPr>
  </w:style>
  <w:style w:type="paragraph" w:styleId="Date">
    <w:name w:val="Date"/>
    <w:basedOn w:val="Normal"/>
    <w:next w:val="Normal"/>
    <w:rsid w:val="0022593D"/>
    <w:pPr>
      <w:spacing w:after="180" w:line="240" w:lineRule="exact"/>
    </w:pPr>
    <w:rPr>
      <w:rFonts w:ascii="Verdana" w:hAnsi="Verdana"/>
      <w:sz w:val="18"/>
    </w:rPr>
  </w:style>
  <w:style w:type="paragraph" w:customStyle="1" w:styleId="RecipientAddress">
    <w:name w:val="Recipient Address"/>
    <w:basedOn w:val="Normal"/>
    <w:rsid w:val="0022593D"/>
    <w:pPr>
      <w:spacing w:line="240" w:lineRule="exact"/>
    </w:pPr>
    <w:rPr>
      <w:rFonts w:ascii="Verdana" w:hAnsi="Verdana"/>
      <w:sz w:val="18"/>
    </w:rPr>
  </w:style>
  <w:style w:type="paragraph" w:customStyle="1" w:styleId="BodyText1">
    <w:name w:val="Body Text1"/>
    <w:basedOn w:val="Normal"/>
    <w:rsid w:val="0022593D"/>
    <w:pPr>
      <w:spacing w:line="280" w:lineRule="exact"/>
    </w:pPr>
    <w:rPr>
      <w:sz w:val="20"/>
    </w:rPr>
  </w:style>
  <w:style w:type="character" w:styleId="CommentReference">
    <w:name w:val="annotation reference"/>
    <w:basedOn w:val="DefaultParagraphFont"/>
    <w:rsid w:val="0022593D"/>
    <w:rPr>
      <w:sz w:val="16"/>
      <w:szCs w:val="16"/>
    </w:rPr>
  </w:style>
  <w:style w:type="paragraph" w:styleId="TOCHeading">
    <w:name w:val="TOC Heading"/>
    <w:basedOn w:val="Heading1"/>
    <w:next w:val="Normal"/>
    <w:uiPriority w:val="39"/>
    <w:unhideWhenUsed/>
    <w:qFormat/>
    <w:rsid w:val="002514EC"/>
    <w:pPr>
      <w:keepLines/>
      <w:tabs>
        <w:tab w:val="clear" w:pos="1680"/>
      </w:tabs>
      <w:spacing w:before="240" w:line="259" w:lineRule="auto"/>
      <w:outlineLvl w:val="9"/>
    </w:pPr>
    <w:rPr>
      <w:rFonts w:asciiTheme="majorHAnsi" w:eastAsiaTheme="majorEastAsia" w:hAnsiTheme="majorHAnsi" w:cstheme="majorBidi"/>
      <w:i w:val="0"/>
      <w:color w:val="2E74B5" w:themeColor="accent1" w:themeShade="BF"/>
      <w:kern w:val="0"/>
      <w:sz w:val="32"/>
      <w:szCs w:val="32"/>
    </w:rPr>
  </w:style>
  <w:style w:type="paragraph" w:styleId="FootnoteText">
    <w:name w:val="footnote text"/>
    <w:basedOn w:val="Normal"/>
    <w:link w:val="FootnoteTextChar"/>
    <w:unhideWhenUsed/>
    <w:rsid w:val="003629C2"/>
    <w:rPr>
      <w:sz w:val="20"/>
    </w:rPr>
  </w:style>
  <w:style w:type="character" w:customStyle="1" w:styleId="FootnoteTextChar">
    <w:name w:val="Footnote Text Char"/>
    <w:basedOn w:val="DefaultParagraphFont"/>
    <w:link w:val="FootnoteText"/>
    <w:rsid w:val="003629C2"/>
  </w:style>
  <w:style w:type="character" w:styleId="FootnoteReference">
    <w:name w:val="footnote reference"/>
    <w:basedOn w:val="DefaultParagraphFont"/>
    <w:unhideWhenUsed/>
    <w:rsid w:val="003629C2"/>
    <w:rPr>
      <w:vertAlign w:val="superscript"/>
    </w:rPr>
  </w:style>
  <w:style w:type="paragraph" w:styleId="BalloonText">
    <w:name w:val="Balloon Text"/>
    <w:basedOn w:val="Normal"/>
    <w:link w:val="BalloonTextChar"/>
    <w:semiHidden/>
    <w:unhideWhenUsed/>
    <w:rsid w:val="00263D74"/>
    <w:rPr>
      <w:rFonts w:ascii="Tahoma" w:hAnsi="Tahoma" w:cs="Tahoma"/>
      <w:sz w:val="16"/>
      <w:szCs w:val="16"/>
    </w:rPr>
  </w:style>
  <w:style w:type="character" w:customStyle="1" w:styleId="BalloonTextChar">
    <w:name w:val="Balloon Text Char"/>
    <w:basedOn w:val="DefaultParagraphFont"/>
    <w:link w:val="BalloonText"/>
    <w:semiHidden/>
    <w:rsid w:val="00263D74"/>
    <w:rPr>
      <w:rFonts w:ascii="Tahoma" w:hAnsi="Tahoma" w:cs="Tahoma"/>
      <w:sz w:val="16"/>
      <w:szCs w:val="16"/>
    </w:rPr>
  </w:style>
  <w:style w:type="character" w:styleId="Hyperlink">
    <w:name w:val="Hyperlink"/>
    <w:basedOn w:val="DefaultParagraphFont"/>
    <w:uiPriority w:val="99"/>
    <w:unhideWhenUsed/>
    <w:rsid w:val="00104A19"/>
    <w:rPr>
      <w:color w:val="0563C1" w:themeColor="hyperlink"/>
      <w:u w:val="single"/>
    </w:rPr>
  </w:style>
  <w:style w:type="character" w:customStyle="1" w:styleId="picturename">
    <w:name w:val="picturename"/>
    <w:basedOn w:val="DefaultParagraphFont"/>
    <w:rsid w:val="00B419CB"/>
  </w:style>
  <w:style w:type="character" w:customStyle="1" w:styleId="FootnoteCharacters">
    <w:name w:val="Footnote Characters"/>
    <w:basedOn w:val="DefaultParagraphFont"/>
    <w:rsid w:val="00B419CB"/>
    <w:rPr>
      <w:vertAlign w:val="superscript"/>
    </w:rPr>
  </w:style>
  <w:style w:type="paragraph" w:styleId="NormalWeb">
    <w:name w:val="Normal (Web)"/>
    <w:basedOn w:val="Normal"/>
    <w:uiPriority w:val="99"/>
    <w:rsid w:val="00B419CB"/>
    <w:pPr>
      <w:suppressAutoHyphens/>
      <w:spacing w:before="280" w:after="280"/>
    </w:pPr>
    <w:rPr>
      <w:szCs w:val="24"/>
      <w:lang w:eastAsia="ar-SA"/>
    </w:rPr>
  </w:style>
  <w:style w:type="character" w:customStyle="1" w:styleId="apple-converted-space">
    <w:name w:val="apple-converted-space"/>
    <w:basedOn w:val="DefaultParagraphFont"/>
    <w:rsid w:val="00067E21"/>
  </w:style>
  <w:style w:type="character" w:customStyle="1" w:styleId="FooterChar">
    <w:name w:val="Footer Char"/>
    <w:basedOn w:val="DefaultParagraphFont"/>
    <w:link w:val="Footer"/>
    <w:uiPriority w:val="99"/>
    <w:rsid w:val="007A2278"/>
    <w:rPr>
      <w:sz w:val="24"/>
    </w:rPr>
  </w:style>
  <w:style w:type="table" w:styleId="TableGrid">
    <w:name w:val="Table Grid"/>
    <w:basedOn w:val="TableNormal"/>
    <w:uiPriority w:val="39"/>
    <w:rsid w:val="009D093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93B"/>
    <w:pPr>
      <w:ind w:left="720"/>
      <w:contextualSpacing/>
    </w:pPr>
    <w:rPr>
      <w:rFonts w:asciiTheme="minorHAnsi" w:eastAsiaTheme="minorHAnsi" w:hAnsiTheme="minorHAnsi" w:cstheme="minorBidi"/>
      <w:szCs w:val="24"/>
    </w:rPr>
  </w:style>
  <w:style w:type="character" w:styleId="FollowedHyperlink">
    <w:name w:val="FollowedHyperlink"/>
    <w:basedOn w:val="DefaultParagraphFont"/>
    <w:semiHidden/>
    <w:unhideWhenUsed/>
    <w:rsid w:val="008724B9"/>
    <w:rPr>
      <w:color w:val="954F72" w:themeColor="followedHyperlink"/>
      <w:u w:val="single"/>
    </w:rPr>
  </w:style>
  <w:style w:type="table" w:styleId="ListTable4-Accent3">
    <w:name w:val="List Table 4 Accent 3"/>
    <w:basedOn w:val="TableNormal"/>
    <w:uiPriority w:val="49"/>
    <w:rsid w:val="000E36D2"/>
    <w:rPr>
      <w:rFonts w:asciiTheme="minorHAnsi" w:eastAsiaTheme="minorHAnsi" w:hAnsi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0E36D2"/>
    <w:rPr>
      <w:i/>
      <w:iCs/>
    </w:rPr>
  </w:style>
  <w:style w:type="character" w:styleId="Strong">
    <w:name w:val="Strong"/>
    <w:basedOn w:val="DefaultParagraphFont"/>
    <w:uiPriority w:val="22"/>
    <w:qFormat/>
    <w:rsid w:val="000E36D2"/>
    <w:rPr>
      <w:b/>
      <w:bCs/>
    </w:rPr>
  </w:style>
  <w:style w:type="character" w:styleId="UnresolvedMention">
    <w:name w:val="Unresolved Mention"/>
    <w:basedOn w:val="DefaultParagraphFont"/>
    <w:uiPriority w:val="99"/>
    <w:semiHidden/>
    <w:unhideWhenUsed/>
    <w:rsid w:val="00087395"/>
    <w:rPr>
      <w:color w:val="605E5C"/>
      <w:shd w:val="clear" w:color="auto" w:fill="E1DFDD"/>
    </w:rPr>
  </w:style>
  <w:style w:type="paragraph" w:customStyle="1" w:styleId="paragraph">
    <w:name w:val="paragraph"/>
    <w:basedOn w:val="Normal"/>
    <w:rsid w:val="00E34D48"/>
    <w:pPr>
      <w:spacing w:before="100" w:beforeAutospacing="1" w:after="100" w:afterAutospacing="1"/>
    </w:pPr>
    <w:rPr>
      <w:szCs w:val="24"/>
    </w:rPr>
  </w:style>
  <w:style w:type="character" w:customStyle="1" w:styleId="normaltextrun">
    <w:name w:val="normaltextrun"/>
    <w:basedOn w:val="DefaultParagraphFont"/>
    <w:rsid w:val="00E34D48"/>
  </w:style>
  <w:style w:type="character" w:customStyle="1" w:styleId="eop">
    <w:name w:val="eop"/>
    <w:basedOn w:val="DefaultParagraphFont"/>
    <w:rsid w:val="00E34D48"/>
  </w:style>
  <w:style w:type="character" w:customStyle="1" w:styleId="HeaderChar">
    <w:name w:val="Header Char"/>
    <w:basedOn w:val="DefaultParagraphFont"/>
    <w:link w:val="Header"/>
    <w:uiPriority w:val="99"/>
    <w:rsid w:val="00E34D48"/>
    <w:rPr>
      <w:sz w:val="24"/>
    </w:rPr>
  </w:style>
  <w:style w:type="paragraph" w:styleId="CommentText">
    <w:name w:val="annotation text"/>
    <w:basedOn w:val="Normal"/>
    <w:link w:val="CommentTextChar"/>
    <w:semiHidden/>
    <w:unhideWhenUsed/>
    <w:rsid w:val="00B771E3"/>
    <w:rPr>
      <w:sz w:val="20"/>
    </w:rPr>
  </w:style>
  <w:style w:type="character" w:customStyle="1" w:styleId="CommentTextChar">
    <w:name w:val="Comment Text Char"/>
    <w:basedOn w:val="DefaultParagraphFont"/>
    <w:link w:val="CommentText"/>
    <w:semiHidden/>
    <w:rsid w:val="00B771E3"/>
  </w:style>
  <w:style w:type="paragraph" w:styleId="CommentSubject">
    <w:name w:val="annotation subject"/>
    <w:basedOn w:val="CommentText"/>
    <w:next w:val="CommentText"/>
    <w:link w:val="CommentSubjectChar"/>
    <w:semiHidden/>
    <w:unhideWhenUsed/>
    <w:rsid w:val="00B771E3"/>
    <w:rPr>
      <w:b/>
      <w:bCs/>
    </w:rPr>
  </w:style>
  <w:style w:type="character" w:customStyle="1" w:styleId="CommentSubjectChar">
    <w:name w:val="Comment Subject Char"/>
    <w:basedOn w:val="CommentTextChar"/>
    <w:link w:val="CommentSubject"/>
    <w:semiHidden/>
    <w:rsid w:val="00B77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45958">
      <w:bodyDiv w:val="1"/>
      <w:marLeft w:val="0"/>
      <w:marRight w:val="0"/>
      <w:marTop w:val="0"/>
      <w:marBottom w:val="0"/>
      <w:divBdr>
        <w:top w:val="none" w:sz="0" w:space="0" w:color="auto"/>
        <w:left w:val="none" w:sz="0" w:space="0" w:color="auto"/>
        <w:bottom w:val="none" w:sz="0" w:space="0" w:color="auto"/>
        <w:right w:val="none" w:sz="0" w:space="0" w:color="auto"/>
      </w:divBdr>
    </w:div>
    <w:div w:id="561210952">
      <w:bodyDiv w:val="1"/>
      <w:marLeft w:val="0"/>
      <w:marRight w:val="0"/>
      <w:marTop w:val="0"/>
      <w:marBottom w:val="0"/>
      <w:divBdr>
        <w:top w:val="none" w:sz="0" w:space="0" w:color="auto"/>
        <w:left w:val="none" w:sz="0" w:space="0" w:color="auto"/>
        <w:bottom w:val="none" w:sz="0" w:space="0" w:color="auto"/>
        <w:right w:val="none" w:sz="0" w:space="0" w:color="auto"/>
      </w:divBdr>
    </w:div>
    <w:div w:id="848327399">
      <w:bodyDiv w:val="1"/>
      <w:marLeft w:val="0"/>
      <w:marRight w:val="0"/>
      <w:marTop w:val="0"/>
      <w:marBottom w:val="0"/>
      <w:divBdr>
        <w:top w:val="none" w:sz="0" w:space="0" w:color="auto"/>
        <w:left w:val="none" w:sz="0" w:space="0" w:color="auto"/>
        <w:bottom w:val="none" w:sz="0" w:space="0" w:color="auto"/>
        <w:right w:val="none" w:sz="0" w:space="0" w:color="auto"/>
      </w:divBdr>
      <w:divsChild>
        <w:div w:id="1750729923">
          <w:marLeft w:val="0"/>
          <w:marRight w:val="0"/>
          <w:marTop w:val="30"/>
          <w:marBottom w:val="0"/>
          <w:divBdr>
            <w:top w:val="none" w:sz="0" w:space="0" w:color="auto"/>
            <w:left w:val="none" w:sz="0" w:space="0" w:color="auto"/>
            <w:bottom w:val="none" w:sz="0" w:space="0" w:color="auto"/>
            <w:right w:val="none" w:sz="0" w:space="0" w:color="auto"/>
          </w:divBdr>
        </w:div>
      </w:divsChild>
    </w:div>
    <w:div w:id="1297949507">
      <w:bodyDiv w:val="1"/>
      <w:marLeft w:val="0"/>
      <w:marRight w:val="0"/>
      <w:marTop w:val="0"/>
      <w:marBottom w:val="0"/>
      <w:divBdr>
        <w:top w:val="none" w:sz="0" w:space="0" w:color="auto"/>
        <w:left w:val="none" w:sz="0" w:space="0" w:color="auto"/>
        <w:bottom w:val="none" w:sz="0" w:space="0" w:color="auto"/>
        <w:right w:val="none" w:sz="0" w:space="0" w:color="auto"/>
      </w:divBdr>
      <w:divsChild>
        <w:div w:id="440225532">
          <w:marLeft w:val="0"/>
          <w:marRight w:val="0"/>
          <w:marTop w:val="0"/>
          <w:marBottom w:val="0"/>
          <w:divBdr>
            <w:top w:val="none" w:sz="0" w:space="0" w:color="auto"/>
            <w:left w:val="none" w:sz="0" w:space="0" w:color="auto"/>
            <w:bottom w:val="none" w:sz="0" w:space="0" w:color="auto"/>
            <w:right w:val="none" w:sz="0" w:space="0" w:color="auto"/>
          </w:divBdr>
        </w:div>
        <w:div w:id="836962128">
          <w:marLeft w:val="0"/>
          <w:marRight w:val="0"/>
          <w:marTop w:val="0"/>
          <w:marBottom w:val="0"/>
          <w:divBdr>
            <w:top w:val="none" w:sz="0" w:space="0" w:color="auto"/>
            <w:left w:val="none" w:sz="0" w:space="0" w:color="auto"/>
            <w:bottom w:val="none" w:sz="0" w:space="0" w:color="auto"/>
            <w:right w:val="none" w:sz="0" w:space="0" w:color="auto"/>
          </w:divBdr>
        </w:div>
        <w:div w:id="185603977">
          <w:marLeft w:val="0"/>
          <w:marRight w:val="0"/>
          <w:marTop w:val="0"/>
          <w:marBottom w:val="0"/>
          <w:divBdr>
            <w:top w:val="none" w:sz="0" w:space="0" w:color="auto"/>
            <w:left w:val="none" w:sz="0" w:space="0" w:color="auto"/>
            <w:bottom w:val="none" w:sz="0" w:space="0" w:color="auto"/>
            <w:right w:val="none" w:sz="0" w:space="0" w:color="auto"/>
          </w:divBdr>
        </w:div>
        <w:div w:id="1709332116">
          <w:marLeft w:val="0"/>
          <w:marRight w:val="0"/>
          <w:marTop w:val="0"/>
          <w:marBottom w:val="0"/>
          <w:divBdr>
            <w:top w:val="none" w:sz="0" w:space="0" w:color="auto"/>
            <w:left w:val="none" w:sz="0" w:space="0" w:color="auto"/>
            <w:bottom w:val="none" w:sz="0" w:space="0" w:color="auto"/>
            <w:right w:val="none" w:sz="0" w:space="0" w:color="auto"/>
          </w:divBdr>
        </w:div>
        <w:div w:id="1825661013">
          <w:marLeft w:val="0"/>
          <w:marRight w:val="0"/>
          <w:marTop w:val="0"/>
          <w:marBottom w:val="0"/>
          <w:divBdr>
            <w:top w:val="none" w:sz="0" w:space="0" w:color="auto"/>
            <w:left w:val="none" w:sz="0" w:space="0" w:color="auto"/>
            <w:bottom w:val="none" w:sz="0" w:space="0" w:color="auto"/>
            <w:right w:val="none" w:sz="0" w:space="0" w:color="auto"/>
          </w:divBdr>
          <w:divsChild>
            <w:div w:id="242111116">
              <w:marLeft w:val="0"/>
              <w:marRight w:val="0"/>
              <w:marTop w:val="0"/>
              <w:marBottom w:val="0"/>
              <w:divBdr>
                <w:top w:val="none" w:sz="0" w:space="0" w:color="auto"/>
                <w:left w:val="none" w:sz="0" w:space="0" w:color="auto"/>
                <w:bottom w:val="none" w:sz="0" w:space="0" w:color="auto"/>
                <w:right w:val="none" w:sz="0" w:space="0" w:color="auto"/>
              </w:divBdr>
              <w:divsChild>
                <w:div w:id="768820257">
                  <w:marLeft w:val="0"/>
                  <w:marRight w:val="0"/>
                  <w:marTop w:val="0"/>
                  <w:marBottom w:val="0"/>
                  <w:divBdr>
                    <w:top w:val="none" w:sz="0" w:space="0" w:color="auto"/>
                    <w:left w:val="none" w:sz="0" w:space="0" w:color="auto"/>
                    <w:bottom w:val="none" w:sz="0" w:space="0" w:color="auto"/>
                    <w:right w:val="none" w:sz="0" w:space="0" w:color="auto"/>
                  </w:divBdr>
                  <w:divsChild>
                    <w:div w:id="203444538">
                      <w:marLeft w:val="0"/>
                      <w:marRight w:val="0"/>
                      <w:marTop w:val="0"/>
                      <w:marBottom w:val="0"/>
                      <w:divBdr>
                        <w:top w:val="none" w:sz="0" w:space="0" w:color="auto"/>
                        <w:left w:val="none" w:sz="0" w:space="0" w:color="auto"/>
                        <w:bottom w:val="none" w:sz="0" w:space="0" w:color="auto"/>
                        <w:right w:val="none" w:sz="0" w:space="0" w:color="auto"/>
                      </w:divBdr>
                    </w:div>
                  </w:divsChild>
                </w:div>
                <w:div w:id="1150749225">
                  <w:marLeft w:val="0"/>
                  <w:marRight w:val="0"/>
                  <w:marTop w:val="0"/>
                  <w:marBottom w:val="0"/>
                  <w:divBdr>
                    <w:top w:val="none" w:sz="0" w:space="0" w:color="auto"/>
                    <w:left w:val="none" w:sz="0" w:space="0" w:color="auto"/>
                    <w:bottom w:val="none" w:sz="0" w:space="0" w:color="auto"/>
                    <w:right w:val="none" w:sz="0" w:space="0" w:color="auto"/>
                  </w:divBdr>
                </w:div>
                <w:div w:id="1242256359">
                  <w:marLeft w:val="0"/>
                  <w:marRight w:val="0"/>
                  <w:marTop w:val="0"/>
                  <w:marBottom w:val="0"/>
                  <w:divBdr>
                    <w:top w:val="none" w:sz="0" w:space="0" w:color="auto"/>
                    <w:left w:val="none" w:sz="0" w:space="0" w:color="auto"/>
                    <w:bottom w:val="none" w:sz="0" w:space="0" w:color="auto"/>
                    <w:right w:val="none" w:sz="0" w:space="0" w:color="auto"/>
                  </w:divBdr>
                </w:div>
                <w:div w:id="1870725591">
                  <w:marLeft w:val="0"/>
                  <w:marRight w:val="0"/>
                  <w:marTop w:val="0"/>
                  <w:marBottom w:val="0"/>
                  <w:divBdr>
                    <w:top w:val="none" w:sz="0" w:space="0" w:color="auto"/>
                    <w:left w:val="none" w:sz="0" w:space="0" w:color="auto"/>
                    <w:bottom w:val="none" w:sz="0" w:space="0" w:color="auto"/>
                    <w:right w:val="none" w:sz="0" w:space="0" w:color="auto"/>
                  </w:divBdr>
                </w:div>
                <w:div w:id="7264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2676">
      <w:bodyDiv w:val="1"/>
      <w:marLeft w:val="0"/>
      <w:marRight w:val="0"/>
      <w:marTop w:val="0"/>
      <w:marBottom w:val="0"/>
      <w:divBdr>
        <w:top w:val="none" w:sz="0" w:space="0" w:color="auto"/>
        <w:left w:val="none" w:sz="0" w:space="0" w:color="auto"/>
        <w:bottom w:val="none" w:sz="0" w:space="0" w:color="auto"/>
        <w:right w:val="none" w:sz="0" w:space="0" w:color="auto"/>
      </w:divBdr>
    </w:div>
    <w:div w:id="1583296356">
      <w:bodyDiv w:val="1"/>
      <w:marLeft w:val="0"/>
      <w:marRight w:val="0"/>
      <w:marTop w:val="0"/>
      <w:marBottom w:val="0"/>
      <w:divBdr>
        <w:top w:val="none" w:sz="0" w:space="0" w:color="auto"/>
        <w:left w:val="none" w:sz="0" w:space="0" w:color="auto"/>
        <w:bottom w:val="none" w:sz="0" w:space="0" w:color="auto"/>
        <w:right w:val="none" w:sz="0" w:space="0" w:color="auto"/>
      </w:divBdr>
      <w:divsChild>
        <w:div w:id="1336691937">
          <w:marLeft w:val="0"/>
          <w:marRight w:val="0"/>
          <w:marTop w:val="0"/>
          <w:marBottom w:val="0"/>
          <w:divBdr>
            <w:top w:val="none" w:sz="0" w:space="0" w:color="auto"/>
            <w:left w:val="none" w:sz="0" w:space="0" w:color="auto"/>
            <w:bottom w:val="none" w:sz="0" w:space="0" w:color="auto"/>
            <w:right w:val="none" w:sz="0" w:space="0" w:color="auto"/>
          </w:divBdr>
        </w:div>
        <w:div w:id="1831210581">
          <w:marLeft w:val="0"/>
          <w:marRight w:val="0"/>
          <w:marTop w:val="0"/>
          <w:marBottom w:val="0"/>
          <w:divBdr>
            <w:top w:val="none" w:sz="0" w:space="0" w:color="auto"/>
            <w:left w:val="none" w:sz="0" w:space="0" w:color="auto"/>
            <w:bottom w:val="none" w:sz="0" w:space="0" w:color="auto"/>
            <w:right w:val="none" w:sz="0" w:space="0" w:color="auto"/>
          </w:divBdr>
        </w:div>
        <w:div w:id="1818381175">
          <w:marLeft w:val="0"/>
          <w:marRight w:val="0"/>
          <w:marTop w:val="0"/>
          <w:marBottom w:val="0"/>
          <w:divBdr>
            <w:top w:val="none" w:sz="0" w:space="0" w:color="auto"/>
            <w:left w:val="none" w:sz="0" w:space="0" w:color="auto"/>
            <w:bottom w:val="none" w:sz="0" w:space="0" w:color="auto"/>
            <w:right w:val="none" w:sz="0" w:space="0" w:color="auto"/>
          </w:divBdr>
        </w:div>
        <w:div w:id="800346393">
          <w:marLeft w:val="0"/>
          <w:marRight w:val="0"/>
          <w:marTop w:val="0"/>
          <w:marBottom w:val="0"/>
          <w:divBdr>
            <w:top w:val="none" w:sz="0" w:space="0" w:color="auto"/>
            <w:left w:val="none" w:sz="0" w:space="0" w:color="auto"/>
            <w:bottom w:val="none" w:sz="0" w:space="0" w:color="auto"/>
            <w:right w:val="none" w:sz="0" w:space="0" w:color="auto"/>
          </w:divBdr>
        </w:div>
        <w:div w:id="1084763910">
          <w:marLeft w:val="0"/>
          <w:marRight w:val="0"/>
          <w:marTop w:val="0"/>
          <w:marBottom w:val="0"/>
          <w:divBdr>
            <w:top w:val="none" w:sz="0" w:space="0" w:color="auto"/>
            <w:left w:val="none" w:sz="0" w:space="0" w:color="auto"/>
            <w:bottom w:val="none" w:sz="0" w:space="0" w:color="auto"/>
            <w:right w:val="none" w:sz="0" w:space="0" w:color="auto"/>
          </w:divBdr>
        </w:div>
        <w:div w:id="217860265">
          <w:marLeft w:val="0"/>
          <w:marRight w:val="0"/>
          <w:marTop w:val="0"/>
          <w:marBottom w:val="0"/>
          <w:divBdr>
            <w:top w:val="none" w:sz="0" w:space="0" w:color="auto"/>
            <w:left w:val="none" w:sz="0" w:space="0" w:color="auto"/>
            <w:bottom w:val="none" w:sz="0" w:space="0" w:color="auto"/>
            <w:right w:val="none" w:sz="0" w:space="0" w:color="auto"/>
          </w:divBdr>
        </w:div>
        <w:div w:id="184515124">
          <w:marLeft w:val="0"/>
          <w:marRight w:val="0"/>
          <w:marTop w:val="0"/>
          <w:marBottom w:val="0"/>
          <w:divBdr>
            <w:top w:val="none" w:sz="0" w:space="0" w:color="auto"/>
            <w:left w:val="none" w:sz="0" w:space="0" w:color="auto"/>
            <w:bottom w:val="none" w:sz="0" w:space="0" w:color="auto"/>
            <w:right w:val="none" w:sz="0" w:space="0" w:color="auto"/>
          </w:divBdr>
        </w:div>
        <w:div w:id="914051501">
          <w:marLeft w:val="0"/>
          <w:marRight w:val="0"/>
          <w:marTop w:val="0"/>
          <w:marBottom w:val="0"/>
          <w:divBdr>
            <w:top w:val="none" w:sz="0" w:space="0" w:color="auto"/>
            <w:left w:val="none" w:sz="0" w:space="0" w:color="auto"/>
            <w:bottom w:val="none" w:sz="0" w:space="0" w:color="auto"/>
            <w:right w:val="none" w:sz="0" w:space="0" w:color="auto"/>
          </w:divBdr>
        </w:div>
        <w:div w:id="1799295656">
          <w:marLeft w:val="0"/>
          <w:marRight w:val="0"/>
          <w:marTop w:val="0"/>
          <w:marBottom w:val="0"/>
          <w:divBdr>
            <w:top w:val="none" w:sz="0" w:space="0" w:color="auto"/>
            <w:left w:val="none" w:sz="0" w:space="0" w:color="auto"/>
            <w:bottom w:val="none" w:sz="0" w:space="0" w:color="auto"/>
            <w:right w:val="none" w:sz="0" w:space="0" w:color="auto"/>
          </w:divBdr>
        </w:div>
        <w:div w:id="981538107">
          <w:marLeft w:val="0"/>
          <w:marRight w:val="0"/>
          <w:marTop w:val="0"/>
          <w:marBottom w:val="0"/>
          <w:divBdr>
            <w:top w:val="none" w:sz="0" w:space="0" w:color="auto"/>
            <w:left w:val="none" w:sz="0" w:space="0" w:color="auto"/>
            <w:bottom w:val="none" w:sz="0" w:space="0" w:color="auto"/>
            <w:right w:val="none" w:sz="0" w:space="0" w:color="auto"/>
          </w:divBdr>
        </w:div>
        <w:div w:id="392235389">
          <w:marLeft w:val="0"/>
          <w:marRight w:val="0"/>
          <w:marTop w:val="0"/>
          <w:marBottom w:val="0"/>
          <w:divBdr>
            <w:top w:val="none" w:sz="0" w:space="0" w:color="auto"/>
            <w:left w:val="none" w:sz="0" w:space="0" w:color="auto"/>
            <w:bottom w:val="none" w:sz="0" w:space="0" w:color="auto"/>
            <w:right w:val="none" w:sz="0" w:space="0" w:color="auto"/>
          </w:divBdr>
        </w:div>
        <w:div w:id="33820040">
          <w:marLeft w:val="0"/>
          <w:marRight w:val="0"/>
          <w:marTop w:val="0"/>
          <w:marBottom w:val="0"/>
          <w:divBdr>
            <w:top w:val="none" w:sz="0" w:space="0" w:color="auto"/>
            <w:left w:val="none" w:sz="0" w:space="0" w:color="auto"/>
            <w:bottom w:val="none" w:sz="0" w:space="0" w:color="auto"/>
            <w:right w:val="none" w:sz="0" w:space="0" w:color="auto"/>
          </w:divBdr>
        </w:div>
        <w:div w:id="961425336">
          <w:marLeft w:val="0"/>
          <w:marRight w:val="0"/>
          <w:marTop w:val="0"/>
          <w:marBottom w:val="0"/>
          <w:divBdr>
            <w:top w:val="none" w:sz="0" w:space="0" w:color="auto"/>
            <w:left w:val="none" w:sz="0" w:space="0" w:color="auto"/>
            <w:bottom w:val="none" w:sz="0" w:space="0" w:color="auto"/>
            <w:right w:val="none" w:sz="0" w:space="0" w:color="auto"/>
          </w:divBdr>
        </w:div>
        <w:div w:id="1068066277">
          <w:marLeft w:val="0"/>
          <w:marRight w:val="0"/>
          <w:marTop w:val="0"/>
          <w:marBottom w:val="0"/>
          <w:divBdr>
            <w:top w:val="none" w:sz="0" w:space="0" w:color="auto"/>
            <w:left w:val="none" w:sz="0" w:space="0" w:color="auto"/>
            <w:bottom w:val="none" w:sz="0" w:space="0" w:color="auto"/>
            <w:right w:val="none" w:sz="0" w:space="0" w:color="auto"/>
          </w:divBdr>
        </w:div>
        <w:div w:id="800997820">
          <w:marLeft w:val="0"/>
          <w:marRight w:val="0"/>
          <w:marTop w:val="0"/>
          <w:marBottom w:val="0"/>
          <w:divBdr>
            <w:top w:val="none" w:sz="0" w:space="0" w:color="auto"/>
            <w:left w:val="none" w:sz="0" w:space="0" w:color="auto"/>
            <w:bottom w:val="none" w:sz="0" w:space="0" w:color="auto"/>
            <w:right w:val="none" w:sz="0" w:space="0" w:color="auto"/>
          </w:divBdr>
        </w:div>
        <w:div w:id="1828014540">
          <w:marLeft w:val="0"/>
          <w:marRight w:val="0"/>
          <w:marTop w:val="0"/>
          <w:marBottom w:val="0"/>
          <w:divBdr>
            <w:top w:val="none" w:sz="0" w:space="0" w:color="auto"/>
            <w:left w:val="none" w:sz="0" w:space="0" w:color="auto"/>
            <w:bottom w:val="none" w:sz="0" w:space="0" w:color="auto"/>
            <w:right w:val="none" w:sz="0" w:space="0" w:color="auto"/>
          </w:divBdr>
        </w:div>
        <w:div w:id="652564203">
          <w:marLeft w:val="0"/>
          <w:marRight w:val="0"/>
          <w:marTop w:val="0"/>
          <w:marBottom w:val="0"/>
          <w:divBdr>
            <w:top w:val="none" w:sz="0" w:space="0" w:color="auto"/>
            <w:left w:val="none" w:sz="0" w:space="0" w:color="auto"/>
            <w:bottom w:val="none" w:sz="0" w:space="0" w:color="auto"/>
            <w:right w:val="none" w:sz="0" w:space="0" w:color="auto"/>
          </w:divBdr>
        </w:div>
        <w:div w:id="657197927">
          <w:marLeft w:val="0"/>
          <w:marRight w:val="0"/>
          <w:marTop w:val="0"/>
          <w:marBottom w:val="0"/>
          <w:divBdr>
            <w:top w:val="none" w:sz="0" w:space="0" w:color="auto"/>
            <w:left w:val="none" w:sz="0" w:space="0" w:color="auto"/>
            <w:bottom w:val="none" w:sz="0" w:space="0" w:color="auto"/>
            <w:right w:val="none" w:sz="0" w:space="0" w:color="auto"/>
          </w:divBdr>
        </w:div>
        <w:div w:id="2064983644">
          <w:marLeft w:val="0"/>
          <w:marRight w:val="0"/>
          <w:marTop w:val="0"/>
          <w:marBottom w:val="0"/>
          <w:divBdr>
            <w:top w:val="none" w:sz="0" w:space="0" w:color="auto"/>
            <w:left w:val="none" w:sz="0" w:space="0" w:color="auto"/>
            <w:bottom w:val="none" w:sz="0" w:space="0" w:color="auto"/>
            <w:right w:val="none" w:sz="0" w:space="0" w:color="auto"/>
          </w:divBdr>
        </w:div>
        <w:div w:id="842624304">
          <w:marLeft w:val="0"/>
          <w:marRight w:val="0"/>
          <w:marTop w:val="0"/>
          <w:marBottom w:val="0"/>
          <w:divBdr>
            <w:top w:val="none" w:sz="0" w:space="0" w:color="auto"/>
            <w:left w:val="none" w:sz="0" w:space="0" w:color="auto"/>
            <w:bottom w:val="none" w:sz="0" w:space="0" w:color="auto"/>
            <w:right w:val="none" w:sz="0" w:space="0" w:color="auto"/>
          </w:divBdr>
        </w:div>
        <w:div w:id="1865096986">
          <w:marLeft w:val="0"/>
          <w:marRight w:val="0"/>
          <w:marTop w:val="0"/>
          <w:marBottom w:val="0"/>
          <w:divBdr>
            <w:top w:val="none" w:sz="0" w:space="0" w:color="auto"/>
            <w:left w:val="none" w:sz="0" w:space="0" w:color="auto"/>
            <w:bottom w:val="none" w:sz="0" w:space="0" w:color="auto"/>
            <w:right w:val="none" w:sz="0" w:space="0" w:color="auto"/>
          </w:divBdr>
        </w:div>
        <w:div w:id="1127890065">
          <w:marLeft w:val="0"/>
          <w:marRight w:val="0"/>
          <w:marTop w:val="0"/>
          <w:marBottom w:val="0"/>
          <w:divBdr>
            <w:top w:val="none" w:sz="0" w:space="0" w:color="auto"/>
            <w:left w:val="none" w:sz="0" w:space="0" w:color="auto"/>
            <w:bottom w:val="none" w:sz="0" w:space="0" w:color="auto"/>
            <w:right w:val="none" w:sz="0" w:space="0" w:color="auto"/>
          </w:divBdr>
        </w:div>
        <w:div w:id="444693496">
          <w:marLeft w:val="0"/>
          <w:marRight w:val="0"/>
          <w:marTop w:val="0"/>
          <w:marBottom w:val="0"/>
          <w:divBdr>
            <w:top w:val="none" w:sz="0" w:space="0" w:color="auto"/>
            <w:left w:val="none" w:sz="0" w:space="0" w:color="auto"/>
            <w:bottom w:val="none" w:sz="0" w:space="0" w:color="auto"/>
            <w:right w:val="none" w:sz="0" w:space="0" w:color="auto"/>
          </w:divBdr>
        </w:div>
        <w:div w:id="319771412">
          <w:marLeft w:val="0"/>
          <w:marRight w:val="0"/>
          <w:marTop w:val="0"/>
          <w:marBottom w:val="0"/>
          <w:divBdr>
            <w:top w:val="none" w:sz="0" w:space="0" w:color="auto"/>
            <w:left w:val="none" w:sz="0" w:space="0" w:color="auto"/>
            <w:bottom w:val="none" w:sz="0" w:space="0" w:color="auto"/>
            <w:right w:val="none" w:sz="0" w:space="0" w:color="auto"/>
          </w:divBdr>
        </w:div>
        <w:div w:id="1125001739">
          <w:marLeft w:val="0"/>
          <w:marRight w:val="0"/>
          <w:marTop w:val="0"/>
          <w:marBottom w:val="0"/>
          <w:divBdr>
            <w:top w:val="none" w:sz="0" w:space="0" w:color="auto"/>
            <w:left w:val="none" w:sz="0" w:space="0" w:color="auto"/>
            <w:bottom w:val="none" w:sz="0" w:space="0" w:color="auto"/>
            <w:right w:val="none" w:sz="0" w:space="0" w:color="auto"/>
          </w:divBdr>
        </w:div>
        <w:div w:id="70082581">
          <w:marLeft w:val="0"/>
          <w:marRight w:val="0"/>
          <w:marTop w:val="0"/>
          <w:marBottom w:val="0"/>
          <w:divBdr>
            <w:top w:val="none" w:sz="0" w:space="0" w:color="auto"/>
            <w:left w:val="none" w:sz="0" w:space="0" w:color="auto"/>
            <w:bottom w:val="none" w:sz="0" w:space="0" w:color="auto"/>
            <w:right w:val="none" w:sz="0" w:space="0" w:color="auto"/>
          </w:divBdr>
        </w:div>
        <w:div w:id="924458682">
          <w:marLeft w:val="0"/>
          <w:marRight w:val="0"/>
          <w:marTop w:val="0"/>
          <w:marBottom w:val="0"/>
          <w:divBdr>
            <w:top w:val="none" w:sz="0" w:space="0" w:color="auto"/>
            <w:left w:val="none" w:sz="0" w:space="0" w:color="auto"/>
            <w:bottom w:val="none" w:sz="0" w:space="0" w:color="auto"/>
            <w:right w:val="none" w:sz="0" w:space="0" w:color="auto"/>
          </w:divBdr>
        </w:div>
        <w:div w:id="1743093478">
          <w:marLeft w:val="0"/>
          <w:marRight w:val="0"/>
          <w:marTop w:val="0"/>
          <w:marBottom w:val="0"/>
          <w:divBdr>
            <w:top w:val="none" w:sz="0" w:space="0" w:color="auto"/>
            <w:left w:val="none" w:sz="0" w:space="0" w:color="auto"/>
            <w:bottom w:val="none" w:sz="0" w:space="0" w:color="auto"/>
            <w:right w:val="none" w:sz="0" w:space="0" w:color="auto"/>
          </w:divBdr>
        </w:div>
      </w:divsChild>
    </w:div>
    <w:div w:id="1797480659">
      <w:bodyDiv w:val="1"/>
      <w:marLeft w:val="0"/>
      <w:marRight w:val="0"/>
      <w:marTop w:val="0"/>
      <w:marBottom w:val="0"/>
      <w:divBdr>
        <w:top w:val="none" w:sz="0" w:space="0" w:color="auto"/>
        <w:left w:val="none" w:sz="0" w:space="0" w:color="auto"/>
        <w:bottom w:val="none" w:sz="0" w:space="0" w:color="auto"/>
        <w:right w:val="none" w:sz="0" w:space="0" w:color="auto"/>
      </w:divBdr>
    </w:div>
    <w:div w:id="1832141604">
      <w:bodyDiv w:val="1"/>
      <w:marLeft w:val="0"/>
      <w:marRight w:val="0"/>
      <w:marTop w:val="0"/>
      <w:marBottom w:val="0"/>
      <w:divBdr>
        <w:top w:val="none" w:sz="0" w:space="0" w:color="auto"/>
        <w:left w:val="none" w:sz="0" w:space="0" w:color="auto"/>
        <w:bottom w:val="none" w:sz="0" w:space="0" w:color="auto"/>
        <w:right w:val="none" w:sz="0" w:space="0" w:color="auto"/>
      </w:divBdr>
    </w:div>
    <w:div w:id="1953703128">
      <w:bodyDiv w:val="1"/>
      <w:marLeft w:val="0"/>
      <w:marRight w:val="0"/>
      <w:marTop w:val="0"/>
      <w:marBottom w:val="0"/>
      <w:divBdr>
        <w:top w:val="none" w:sz="0" w:space="0" w:color="auto"/>
        <w:left w:val="none" w:sz="0" w:space="0" w:color="auto"/>
        <w:bottom w:val="none" w:sz="0" w:space="0" w:color="auto"/>
        <w:right w:val="none" w:sz="0" w:space="0" w:color="auto"/>
      </w:divBdr>
    </w:div>
    <w:div w:id="21338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hildus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childusa.org" TargetMode="External"/><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cid:571D01BF-274D-40B6-AD35-9C36E77B4FDD@fios-router.home"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2E94-C6F9-4E24-A547-1E5EAAD6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www.childusa.org</vt:lpstr>
    </vt:vector>
  </TitlesOfParts>
  <Company>Home</Company>
  <LinksUpToDate>false</LinksUpToDate>
  <CharactersWithSpaces>8739</CharactersWithSpaces>
  <SharedDoc>false</SharedDoc>
  <HLinks>
    <vt:vector size="12" baseType="variant">
      <vt:variant>
        <vt:i4>4391008</vt:i4>
      </vt:variant>
      <vt:variant>
        <vt:i4>2335</vt:i4>
      </vt:variant>
      <vt:variant>
        <vt:i4>1027</vt:i4>
      </vt:variant>
      <vt:variant>
        <vt:i4>1</vt:i4>
      </vt:variant>
      <vt:variant>
        <vt:lpwstr>2nd page head</vt:lpwstr>
      </vt:variant>
      <vt:variant>
        <vt:lpwstr/>
      </vt:variant>
      <vt:variant>
        <vt:i4>6619185</vt:i4>
      </vt:variant>
      <vt:variant>
        <vt:i4>2369</vt:i4>
      </vt:variant>
      <vt:variant>
        <vt:i4>1026</vt:i4>
      </vt:variant>
      <vt:variant>
        <vt:i4>1</vt:i4>
      </vt:variant>
      <vt:variant>
        <vt:lpwstr>CSL Horiz_7460_K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www.childusa.org</dc:title>
  <dc:subject>3701 Chestnut Street, 6th Floor | Philadelphia, PA 19104 info@childusa.org | 215.539.1906</dc:subject>
  <dc:creator>Administrator</dc:creator>
  <cp:lastModifiedBy>Lauren Majewski</cp:lastModifiedBy>
  <cp:revision>2</cp:revision>
  <cp:lastPrinted>2021-02-11T22:22:00Z</cp:lastPrinted>
  <dcterms:created xsi:type="dcterms:W3CDTF">2021-02-22T21:37:00Z</dcterms:created>
  <dcterms:modified xsi:type="dcterms:W3CDTF">2021-02-22T21:37:00Z</dcterms:modified>
</cp:coreProperties>
</file>