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CECF2" w14:textId="77777777" w:rsidR="00E66DCE" w:rsidRPr="00F41D5D" w:rsidRDefault="00E66DCE" w:rsidP="00E66DCE">
      <w:pPr>
        <w:pStyle w:val="Heading2"/>
        <w:jc w:val="center"/>
        <w:rPr>
          <w:rFonts w:asciiTheme="majorBidi" w:hAnsiTheme="majorBidi"/>
          <w:b/>
          <w:bCs/>
          <w:color w:val="auto"/>
          <w:sz w:val="40"/>
          <w:szCs w:val="40"/>
        </w:rPr>
      </w:pPr>
      <w:bookmarkStart w:id="0" w:name="_Toc106347637"/>
      <w:r w:rsidRPr="00F41D5D">
        <w:rPr>
          <w:rFonts w:asciiTheme="majorBidi" w:hAnsiTheme="majorBidi"/>
          <w:b/>
          <w:bCs/>
          <w:color w:val="auto"/>
          <w:sz w:val="40"/>
          <w:szCs w:val="40"/>
        </w:rPr>
        <w:t>ALABAMA</w:t>
      </w:r>
      <w:bookmarkEnd w:id="0"/>
    </w:p>
    <w:p w14:paraId="6B1AF4F3" w14:textId="77777777" w:rsidR="00E66DCE" w:rsidRPr="00F41D5D" w:rsidRDefault="00E66DCE" w:rsidP="00E66DCE">
      <w:pPr>
        <w:rPr>
          <w:rFonts w:asciiTheme="majorBidi" w:hAnsiTheme="majorBidi" w:cstheme="majorBidi"/>
        </w:rPr>
      </w:pPr>
    </w:p>
    <w:tbl>
      <w:tblPr>
        <w:tblStyle w:val="TableGrid"/>
        <w:tblW w:w="0" w:type="auto"/>
        <w:jc w:val="center"/>
        <w:tblLook w:val="04A0" w:firstRow="1" w:lastRow="0" w:firstColumn="1" w:lastColumn="0" w:noHBand="0" w:noVBand="1"/>
      </w:tblPr>
      <w:tblGrid>
        <w:gridCol w:w="4140"/>
        <w:gridCol w:w="4140"/>
      </w:tblGrid>
      <w:tr w:rsidR="00E66DCE" w:rsidRPr="00F41D5D" w14:paraId="5A89E889" w14:textId="77777777" w:rsidTr="00AC7AE3">
        <w:trPr>
          <w:trHeight w:val="494"/>
          <w:jc w:val="center"/>
        </w:trPr>
        <w:tc>
          <w:tcPr>
            <w:tcW w:w="8280" w:type="dxa"/>
            <w:gridSpan w:val="2"/>
            <w:shd w:val="clear" w:color="auto" w:fill="7EC5DC"/>
            <w:vAlign w:val="center"/>
          </w:tcPr>
          <w:p w14:paraId="043403FE" w14:textId="77777777" w:rsidR="00E66DCE" w:rsidRPr="00F41D5D" w:rsidRDefault="00E66DCE" w:rsidP="00AC7AE3">
            <w:pPr>
              <w:jc w:val="center"/>
              <w:rPr>
                <w:rFonts w:asciiTheme="majorBidi" w:hAnsiTheme="majorBidi" w:cstheme="majorBidi"/>
                <w:b/>
                <w:bCs/>
                <w:color w:val="FFFFFF" w:themeColor="background1"/>
                <w:sz w:val="28"/>
                <w:szCs w:val="28"/>
              </w:rPr>
            </w:pPr>
            <w:r w:rsidRPr="00F41D5D">
              <w:rPr>
                <w:rFonts w:asciiTheme="majorBidi" w:hAnsiTheme="majorBidi" w:cstheme="majorBidi"/>
                <w:b/>
                <w:bCs/>
                <w:color w:val="FFFFFF" w:themeColor="background1"/>
                <w:sz w:val="28"/>
                <w:szCs w:val="28"/>
              </w:rPr>
              <w:t>Current Civil SOL</w:t>
            </w:r>
          </w:p>
        </w:tc>
      </w:tr>
      <w:tr w:rsidR="00E66DCE" w:rsidRPr="00F41D5D" w14:paraId="51E6F96E" w14:textId="77777777" w:rsidTr="00AC7AE3">
        <w:trPr>
          <w:trHeight w:val="362"/>
          <w:jc w:val="center"/>
        </w:trPr>
        <w:tc>
          <w:tcPr>
            <w:tcW w:w="4140" w:type="dxa"/>
            <w:vAlign w:val="center"/>
          </w:tcPr>
          <w:p w14:paraId="77AAB19F" w14:textId="77777777" w:rsidR="00E66DCE" w:rsidRPr="00F41D5D" w:rsidRDefault="00E66DCE" w:rsidP="00AC7AE3">
            <w:pPr>
              <w:rPr>
                <w:rFonts w:asciiTheme="majorBidi" w:hAnsiTheme="majorBidi" w:cstheme="majorBidi"/>
                <w:b/>
                <w:bCs/>
                <w:sz w:val="28"/>
                <w:szCs w:val="28"/>
              </w:rPr>
            </w:pPr>
            <w:r w:rsidRPr="00F41D5D">
              <w:rPr>
                <w:rFonts w:asciiTheme="majorBidi" w:hAnsiTheme="majorBidi" w:cstheme="majorBidi"/>
                <w:b/>
                <w:bCs/>
                <w:sz w:val="28"/>
                <w:szCs w:val="28"/>
              </w:rPr>
              <w:t>Age Cap</w:t>
            </w:r>
          </w:p>
        </w:tc>
        <w:tc>
          <w:tcPr>
            <w:tcW w:w="4140" w:type="dxa"/>
            <w:vAlign w:val="center"/>
          </w:tcPr>
          <w:p w14:paraId="6A6D2981" w14:textId="77777777" w:rsidR="00E66DCE" w:rsidRPr="00F41D5D" w:rsidRDefault="00E66DCE" w:rsidP="00AC7AE3">
            <w:pPr>
              <w:rPr>
                <w:rFonts w:asciiTheme="majorBidi" w:hAnsiTheme="majorBidi" w:cstheme="majorBidi"/>
                <w:sz w:val="28"/>
                <w:szCs w:val="28"/>
              </w:rPr>
            </w:pPr>
            <w:r w:rsidRPr="00F41D5D">
              <w:rPr>
                <w:rFonts w:asciiTheme="majorBidi" w:hAnsiTheme="majorBidi" w:cstheme="majorBidi"/>
                <w:sz w:val="28"/>
                <w:szCs w:val="28"/>
              </w:rPr>
              <w:t>CSA: Age 25</w:t>
            </w:r>
          </w:p>
          <w:p w14:paraId="78DE26BB" w14:textId="77777777" w:rsidR="00E66DCE" w:rsidRPr="00F41D5D" w:rsidRDefault="00E66DCE" w:rsidP="00AC7AE3">
            <w:pPr>
              <w:rPr>
                <w:rFonts w:asciiTheme="majorBidi" w:hAnsiTheme="majorBidi" w:cstheme="majorBidi"/>
                <w:sz w:val="28"/>
                <w:szCs w:val="28"/>
              </w:rPr>
            </w:pPr>
            <w:r w:rsidRPr="00F41D5D">
              <w:rPr>
                <w:rFonts w:asciiTheme="majorBidi" w:hAnsiTheme="majorBidi" w:cstheme="majorBidi"/>
                <w:sz w:val="28"/>
                <w:szCs w:val="28"/>
              </w:rPr>
              <w:t>Trafficking: Age 25</w:t>
            </w:r>
          </w:p>
          <w:p w14:paraId="7D80D136" w14:textId="77777777" w:rsidR="00E66DCE" w:rsidRPr="00F41D5D" w:rsidRDefault="00E66DCE" w:rsidP="00AC7AE3">
            <w:pPr>
              <w:rPr>
                <w:rFonts w:asciiTheme="majorBidi" w:hAnsiTheme="majorBidi" w:cstheme="majorBidi"/>
                <w:sz w:val="28"/>
                <w:szCs w:val="28"/>
              </w:rPr>
            </w:pPr>
            <w:r w:rsidRPr="00F41D5D">
              <w:rPr>
                <w:rFonts w:asciiTheme="majorBidi" w:hAnsiTheme="majorBidi" w:cstheme="majorBidi"/>
                <w:sz w:val="28"/>
                <w:szCs w:val="28"/>
              </w:rPr>
              <w:t>CSAM: Age 25</w:t>
            </w:r>
          </w:p>
        </w:tc>
      </w:tr>
      <w:tr w:rsidR="00E66DCE" w:rsidRPr="00F41D5D" w14:paraId="35812EC6" w14:textId="77777777" w:rsidTr="00AC7AE3">
        <w:trPr>
          <w:trHeight w:val="362"/>
          <w:jc w:val="center"/>
        </w:trPr>
        <w:tc>
          <w:tcPr>
            <w:tcW w:w="4140" w:type="dxa"/>
            <w:vAlign w:val="center"/>
          </w:tcPr>
          <w:p w14:paraId="24FBD1B2" w14:textId="77777777" w:rsidR="00E66DCE" w:rsidRPr="00F41D5D" w:rsidRDefault="00E66DCE" w:rsidP="00AC7AE3">
            <w:pPr>
              <w:rPr>
                <w:rFonts w:asciiTheme="majorBidi" w:hAnsiTheme="majorBidi" w:cstheme="majorBidi"/>
                <w:b/>
                <w:bCs/>
                <w:sz w:val="28"/>
                <w:szCs w:val="28"/>
              </w:rPr>
            </w:pPr>
            <w:r w:rsidRPr="00F41D5D">
              <w:rPr>
                <w:rFonts w:asciiTheme="majorBidi" w:hAnsiTheme="majorBidi" w:cstheme="majorBidi"/>
                <w:b/>
                <w:bCs/>
                <w:sz w:val="28"/>
                <w:szCs w:val="28"/>
              </w:rPr>
              <w:t>Revival Law</w:t>
            </w:r>
          </w:p>
        </w:tc>
        <w:tc>
          <w:tcPr>
            <w:tcW w:w="4140" w:type="dxa"/>
            <w:vAlign w:val="center"/>
          </w:tcPr>
          <w:p w14:paraId="6BA8603F" w14:textId="16AE4728" w:rsidR="00D31F3E" w:rsidRPr="00F41D5D" w:rsidRDefault="00D31F3E" w:rsidP="00D31F3E">
            <w:pPr>
              <w:rPr>
                <w:rFonts w:asciiTheme="majorBidi" w:hAnsiTheme="majorBidi" w:cstheme="majorBidi"/>
                <w:sz w:val="28"/>
                <w:szCs w:val="28"/>
              </w:rPr>
            </w:pPr>
            <w:r w:rsidRPr="00F41D5D">
              <w:rPr>
                <w:rFonts w:asciiTheme="majorBidi" w:hAnsiTheme="majorBidi" w:cstheme="majorBidi"/>
                <w:sz w:val="28"/>
                <w:szCs w:val="28"/>
              </w:rPr>
              <w:t>Limited Window only for Boy Scout Survivors</w:t>
            </w:r>
          </w:p>
        </w:tc>
      </w:tr>
      <w:tr w:rsidR="00E66DCE" w:rsidRPr="00F41D5D" w14:paraId="5AC1B612" w14:textId="77777777" w:rsidTr="00AC7AE3">
        <w:trPr>
          <w:trHeight w:val="362"/>
          <w:jc w:val="center"/>
        </w:trPr>
        <w:tc>
          <w:tcPr>
            <w:tcW w:w="4140" w:type="dxa"/>
            <w:vAlign w:val="center"/>
          </w:tcPr>
          <w:p w14:paraId="37EC2C56" w14:textId="77777777" w:rsidR="00E66DCE" w:rsidRPr="00F41D5D" w:rsidRDefault="00E66DCE" w:rsidP="00AC7AE3">
            <w:pPr>
              <w:rPr>
                <w:rFonts w:asciiTheme="majorBidi" w:hAnsiTheme="majorBidi" w:cstheme="majorBidi"/>
                <w:b/>
                <w:bCs/>
                <w:sz w:val="28"/>
                <w:szCs w:val="28"/>
              </w:rPr>
            </w:pPr>
            <w:r w:rsidRPr="00F41D5D">
              <w:rPr>
                <w:rFonts w:asciiTheme="majorBidi" w:hAnsiTheme="majorBidi" w:cstheme="majorBidi"/>
                <w:b/>
                <w:bCs/>
                <w:sz w:val="28"/>
                <w:szCs w:val="28"/>
              </w:rPr>
              <w:t>Discovery Tolling</w:t>
            </w:r>
          </w:p>
        </w:tc>
        <w:tc>
          <w:tcPr>
            <w:tcW w:w="4140" w:type="dxa"/>
            <w:vAlign w:val="center"/>
          </w:tcPr>
          <w:p w14:paraId="7A6DA0E0" w14:textId="7C2F8C21" w:rsidR="00E66DCE" w:rsidRPr="00F41D5D" w:rsidRDefault="00E66DCE" w:rsidP="00AC7AE3">
            <w:pPr>
              <w:rPr>
                <w:rFonts w:asciiTheme="majorBidi" w:hAnsiTheme="majorBidi" w:cstheme="majorBidi"/>
                <w:sz w:val="28"/>
                <w:szCs w:val="28"/>
              </w:rPr>
            </w:pPr>
            <w:r w:rsidRPr="00F41D5D">
              <w:rPr>
                <w:rFonts w:asciiTheme="majorBidi" w:hAnsiTheme="majorBidi" w:cstheme="majorBidi"/>
                <w:sz w:val="28"/>
                <w:szCs w:val="28"/>
              </w:rPr>
              <w:t>None</w:t>
            </w:r>
          </w:p>
        </w:tc>
      </w:tr>
    </w:tbl>
    <w:p w14:paraId="5472C4C0" w14:textId="77777777" w:rsidR="00E66DCE" w:rsidRPr="00F41D5D" w:rsidRDefault="00E66DCE" w:rsidP="00E66DCE">
      <w:pPr>
        <w:rPr>
          <w:rFonts w:asciiTheme="majorBidi" w:hAnsiTheme="majorBidi" w:cstheme="majorBidi"/>
        </w:rPr>
      </w:pPr>
    </w:p>
    <w:p w14:paraId="51F2EF63" w14:textId="4C6DCAC9" w:rsidR="00E66DCE" w:rsidRPr="00F41D5D" w:rsidRDefault="00E66DCE" w:rsidP="00E66DCE">
      <w:pPr>
        <w:rPr>
          <w:rFonts w:asciiTheme="majorBidi" w:eastAsia="Times New Roman" w:hAnsiTheme="majorBidi" w:cstheme="majorBidi"/>
          <w:b/>
          <w:bCs/>
        </w:rPr>
      </w:pPr>
      <w:r w:rsidRPr="00F41D5D">
        <w:rPr>
          <w:rFonts w:asciiTheme="majorBidi" w:eastAsia="Times New Roman" w:hAnsiTheme="majorBidi" w:cstheme="majorBidi"/>
          <w:b/>
          <w:bCs/>
        </w:rPr>
        <w:t xml:space="preserve">Summary: The SOL for CSA, trafficking, and CSAM claims against all defendants is age 25 when the victim is under age 19. </w:t>
      </w:r>
      <w:r w:rsidR="0011247F" w:rsidRPr="00F41D5D">
        <w:rPr>
          <w:rFonts w:asciiTheme="majorBidi" w:eastAsia="Times New Roman" w:hAnsiTheme="majorBidi" w:cstheme="majorBidi"/>
          <w:b/>
          <w:bCs/>
        </w:rPr>
        <w:t>A limited window opened on April 4, 2024</w:t>
      </w:r>
      <w:r w:rsidR="00845BE4" w:rsidRPr="00F41D5D">
        <w:rPr>
          <w:rFonts w:asciiTheme="majorBidi" w:eastAsia="Times New Roman" w:hAnsiTheme="majorBidi" w:cstheme="majorBidi"/>
          <w:b/>
          <w:bCs/>
        </w:rPr>
        <w:t>,</w:t>
      </w:r>
      <w:r w:rsidR="0011247F" w:rsidRPr="00F41D5D">
        <w:rPr>
          <w:rFonts w:asciiTheme="majorBidi" w:eastAsia="Times New Roman" w:hAnsiTheme="majorBidi" w:cstheme="majorBidi"/>
          <w:b/>
          <w:bCs/>
        </w:rPr>
        <w:t xml:space="preserve"> for expired claims against the bankruptcy estate of the Boy Scouts of America.</w:t>
      </w:r>
    </w:p>
    <w:p w14:paraId="6FD6898B" w14:textId="77777777" w:rsidR="00E66DCE" w:rsidRPr="00F41D5D" w:rsidRDefault="00E66DCE" w:rsidP="00E66DCE">
      <w:pPr>
        <w:rPr>
          <w:rFonts w:asciiTheme="majorBidi" w:eastAsia="Times New Roman" w:hAnsiTheme="majorBidi" w:cstheme="majorBidi"/>
        </w:rPr>
      </w:pPr>
    </w:p>
    <w:p w14:paraId="14679EDF" w14:textId="77777777" w:rsidR="00E66DCE" w:rsidRPr="00F41D5D" w:rsidRDefault="00E66DCE" w:rsidP="00E66DCE">
      <w:pPr>
        <w:jc w:val="both"/>
        <w:rPr>
          <w:rFonts w:asciiTheme="majorBidi" w:hAnsiTheme="majorBidi" w:cstheme="majorBidi"/>
        </w:rPr>
      </w:pPr>
      <w:r w:rsidRPr="00F41D5D">
        <w:rPr>
          <w:rFonts w:asciiTheme="majorBidi" w:hAnsiTheme="majorBidi" w:cstheme="majorBidi"/>
          <w:i/>
          <w:iCs/>
        </w:rPr>
        <w:t>Liability Limitations</w:t>
      </w:r>
      <w:r w:rsidRPr="00F41D5D">
        <w:rPr>
          <w:rFonts w:asciiTheme="majorBidi" w:hAnsiTheme="majorBidi" w:cstheme="majorBidi"/>
        </w:rPr>
        <w:t>: The State of Alabama cannot be sued for CSA.</w:t>
      </w:r>
      <w:r w:rsidRPr="00F41D5D">
        <w:rPr>
          <w:rStyle w:val="EndnoteReference"/>
          <w:rFonts w:asciiTheme="majorBidi" w:hAnsiTheme="majorBidi" w:cstheme="majorBidi"/>
        </w:rPr>
        <w:endnoteReference w:id="1"/>
      </w:r>
      <w:r w:rsidRPr="00F41D5D">
        <w:rPr>
          <w:rFonts w:asciiTheme="majorBidi" w:hAnsiTheme="majorBidi" w:cstheme="majorBidi"/>
        </w:rPr>
        <w:t xml:space="preserve"> Alabama courts generally repudiate the doctrine of charitable immunity,</w:t>
      </w:r>
      <w:r w:rsidRPr="00F41D5D">
        <w:rPr>
          <w:rStyle w:val="EndnoteReference"/>
          <w:rFonts w:asciiTheme="majorBidi" w:hAnsiTheme="majorBidi" w:cstheme="majorBidi"/>
        </w:rPr>
        <w:endnoteReference w:id="2"/>
      </w:r>
      <w:r w:rsidRPr="00F41D5D">
        <w:rPr>
          <w:rFonts w:asciiTheme="majorBidi" w:hAnsiTheme="majorBidi" w:cstheme="majorBidi"/>
        </w:rPr>
        <w:t xml:space="preserve"> although some cases </w:t>
      </w:r>
      <w:r w:rsidRPr="00F41D5D">
        <w:rPr>
          <w:rFonts w:asciiTheme="majorBidi" w:eastAsia="Times New Roman" w:hAnsiTheme="majorBidi" w:cstheme="majorBidi"/>
        </w:rPr>
        <w:t>suggest that charities are immune from claims by beneficiaries.</w:t>
      </w:r>
      <w:r w:rsidRPr="00F41D5D">
        <w:rPr>
          <w:rStyle w:val="EndnoteReference"/>
          <w:rFonts w:asciiTheme="majorBidi" w:eastAsia="Times New Roman" w:hAnsiTheme="majorBidi" w:cstheme="majorBidi"/>
        </w:rPr>
        <w:endnoteReference w:id="3"/>
      </w:r>
    </w:p>
    <w:p w14:paraId="664690C6" w14:textId="77777777" w:rsidR="00E66DCE" w:rsidRPr="00F41D5D" w:rsidRDefault="00E66DCE" w:rsidP="00E66DCE">
      <w:pPr>
        <w:rPr>
          <w:rFonts w:asciiTheme="majorBidi" w:hAnsiTheme="majorBidi" w:cstheme="majorBidi"/>
          <w:iCs/>
        </w:rPr>
      </w:pPr>
    </w:p>
    <w:p w14:paraId="3C2CEBE0" w14:textId="77777777" w:rsidR="00E66DCE" w:rsidRPr="00F41D5D" w:rsidRDefault="00E66DCE" w:rsidP="00E66DCE">
      <w:pPr>
        <w:jc w:val="both"/>
        <w:rPr>
          <w:rFonts w:asciiTheme="majorBidi" w:eastAsia="Times New Roman" w:hAnsiTheme="majorBidi" w:cstheme="majorBidi"/>
        </w:rPr>
      </w:pPr>
      <w:r w:rsidRPr="00F41D5D">
        <w:rPr>
          <w:rFonts w:asciiTheme="majorBidi" w:hAnsiTheme="majorBidi" w:cstheme="majorBidi"/>
          <w:i/>
          <w:iCs/>
        </w:rPr>
        <w:t>Other Tolling Theories/Causes of Action</w:t>
      </w:r>
      <w:r w:rsidRPr="00F41D5D">
        <w:rPr>
          <w:rFonts w:asciiTheme="majorBidi" w:hAnsiTheme="majorBidi" w:cstheme="majorBidi"/>
        </w:rPr>
        <w:t xml:space="preserve">: </w:t>
      </w:r>
      <w:r w:rsidRPr="00F41D5D">
        <w:rPr>
          <w:rFonts w:asciiTheme="majorBidi" w:eastAsia="Times New Roman" w:hAnsiTheme="majorBidi" w:cstheme="majorBidi"/>
        </w:rPr>
        <w:t>Theories of fraudulent concealment and equitable estoppel toll an SOL, but neither has been asserted in reported CSA cases.</w:t>
      </w:r>
      <w:r w:rsidRPr="00F41D5D">
        <w:rPr>
          <w:rStyle w:val="EndnoteReference"/>
          <w:rFonts w:asciiTheme="majorBidi" w:eastAsia="Times New Roman" w:hAnsiTheme="majorBidi" w:cstheme="majorBidi"/>
        </w:rPr>
        <w:endnoteReference w:id="4"/>
      </w:r>
      <w:r w:rsidRPr="00F41D5D">
        <w:rPr>
          <w:rFonts w:asciiTheme="majorBidi" w:eastAsia="Times New Roman" w:hAnsiTheme="majorBidi" w:cstheme="majorBidi"/>
        </w:rPr>
        <w:t xml:space="preserve"> Alabama also recognizes a continuous violation doctrine which extends the SOL for claims arising under Title IX.</w:t>
      </w:r>
      <w:r w:rsidRPr="00F41D5D">
        <w:rPr>
          <w:rStyle w:val="EndnoteReference"/>
          <w:rFonts w:asciiTheme="majorBidi" w:eastAsia="Times New Roman" w:hAnsiTheme="majorBidi" w:cstheme="majorBidi"/>
        </w:rPr>
        <w:endnoteReference w:id="5"/>
      </w:r>
    </w:p>
    <w:p w14:paraId="2261B217" w14:textId="77777777" w:rsidR="00E66DCE" w:rsidRPr="00F41D5D" w:rsidRDefault="00E66DCE" w:rsidP="00E66DCE">
      <w:pPr>
        <w:jc w:val="both"/>
        <w:rPr>
          <w:rFonts w:asciiTheme="majorBidi" w:hAnsiTheme="majorBidi" w:cstheme="majorBidi"/>
        </w:rPr>
      </w:pPr>
    </w:p>
    <w:p w14:paraId="445EBC44" w14:textId="36EC7478" w:rsidR="00E66DCE" w:rsidRPr="00F41D5D" w:rsidRDefault="00E66DCE" w:rsidP="003470F0">
      <w:pPr>
        <w:shd w:val="clear" w:color="auto" w:fill="7EC5DC"/>
        <w:jc w:val="center"/>
        <w:rPr>
          <w:rFonts w:asciiTheme="majorBidi" w:hAnsiTheme="majorBidi" w:cstheme="majorBidi"/>
          <w:b/>
          <w:bCs/>
          <w:u w:val="single"/>
        </w:rPr>
      </w:pPr>
      <w:r w:rsidRPr="00F41D5D">
        <w:rPr>
          <w:rFonts w:asciiTheme="majorBidi" w:hAnsiTheme="majorBidi" w:cstheme="majorBidi"/>
          <w:b/>
          <w:bCs/>
          <w:color w:val="FFFFFF" w:themeColor="background1"/>
        </w:rPr>
        <w:t>Civil SOL History</w:t>
      </w:r>
    </w:p>
    <w:tbl>
      <w:tblPr>
        <w:tblStyle w:val="TableGrid"/>
        <w:tblW w:w="936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70"/>
        <w:gridCol w:w="8490"/>
      </w:tblGrid>
      <w:tr w:rsidR="00E66DCE" w:rsidRPr="00F41D5D" w14:paraId="3E97A1C9" w14:textId="77777777" w:rsidTr="00AC7AE3">
        <w:tc>
          <w:tcPr>
            <w:tcW w:w="9360" w:type="dxa"/>
            <w:gridSpan w:val="2"/>
          </w:tcPr>
          <w:p w14:paraId="01694563" w14:textId="77777777" w:rsidR="00E66DCE" w:rsidRPr="00F41D5D" w:rsidRDefault="00E66DCE" w:rsidP="00AC7AE3">
            <w:pPr>
              <w:pStyle w:val="NormalWeb"/>
              <w:spacing w:before="0" w:beforeAutospacing="0" w:after="0" w:afterAutospacing="0"/>
              <w:textAlignment w:val="baseline"/>
              <w:rPr>
                <w:rFonts w:asciiTheme="majorBidi" w:hAnsiTheme="majorBidi" w:cstheme="majorBidi"/>
                <w:b/>
                <w:bCs/>
                <w:i/>
                <w:iCs/>
                <w:color w:val="333333"/>
                <w:bdr w:val="none" w:sz="0" w:space="0" w:color="auto" w:frame="1"/>
              </w:rPr>
            </w:pPr>
            <w:r w:rsidRPr="00F41D5D">
              <w:rPr>
                <w:rFonts w:asciiTheme="majorBidi" w:hAnsiTheme="majorBidi" w:cstheme="majorBidi"/>
                <w:b/>
                <w:bCs/>
                <w:i/>
                <w:iCs/>
                <w:color w:val="333333"/>
                <w:bdr w:val="none" w:sz="0" w:space="0" w:color="auto" w:frame="1"/>
              </w:rPr>
              <w:t>Age Cap</w:t>
            </w:r>
          </w:p>
        </w:tc>
      </w:tr>
      <w:tr w:rsidR="00E66DCE" w:rsidRPr="00F41D5D" w14:paraId="5BDD07E4" w14:textId="77777777" w:rsidTr="00AC7AE3">
        <w:tc>
          <w:tcPr>
            <w:tcW w:w="870" w:type="dxa"/>
          </w:tcPr>
          <w:p w14:paraId="5A26660C" w14:textId="77777777" w:rsidR="00E66DCE" w:rsidRPr="00F41D5D" w:rsidRDefault="00E66DCE" w:rsidP="00AC7AE3">
            <w:pPr>
              <w:pStyle w:val="NormalWeb"/>
              <w:spacing w:before="0" w:beforeAutospacing="0" w:after="0" w:afterAutospacing="0"/>
              <w:textAlignment w:val="baseline"/>
              <w:rPr>
                <w:rStyle w:val="Strong"/>
                <w:rFonts w:asciiTheme="majorBidi" w:hAnsiTheme="majorBidi" w:cstheme="majorBidi"/>
                <w:b w:val="0"/>
                <w:bCs w:val="0"/>
                <w:color w:val="333333"/>
                <w:bdr w:val="none" w:sz="0" w:space="0" w:color="auto" w:frame="1"/>
              </w:rPr>
            </w:pPr>
            <w:r w:rsidRPr="00F41D5D">
              <w:rPr>
                <w:rStyle w:val="Strong"/>
                <w:rFonts w:asciiTheme="majorBidi" w:hAnsiTheme="majorBidi" w:cstheme="majorBidi"/>
                <w:color w:val="333333"/>
                <w:bdr w:val="none" w:sz="0" w:space="0" w:color="auto" w:frame="1"/>
              </w:rPr>
              <w:t>2002</w:t>
            </w:r>
          </w:p>
        </w:tc>
        <w:tc>
          <w:tcPr>
            <w:tcW w:w="8490" w:type="dxa"/>
          </w:tcPr>
          <w:p w14:paraId="0E25D159" w14:textId="77777777" w:rsidR="00E66DCE" w:rsidRPr="00F41D5D" w:rsidRDefault="00E66DCE" w:rsidP="00AC7AE3">
            <w:pPr>
              <w:jc w:val="both"/>
              <w:textAlignment w:val="baseline"/>
              <w:rPr>
                <w:rFonts w:asciiTheme="majorBidi" w:eastAsia="Times New Roman" w:hAnsiTheme="majorBidi" w:cstheme="majorBidi"/>
                <w:bdr w:val="none" w:sz="0" w:space="0" w:color="auto" w:frame="1"/>
                <w:vertAlign w:val="superscript"/>
              </w:rPr>
            </w:pPr>
            <w:r w:rsidRPr="00F41D5D">
              <w:rPr>
                <w:rFonts w:asciiTheme="majorBidi" w:eastAsia="Times New Roman" w:hAnsiTheme="majorBidi" w:cstheme="majorBidi"/>
              </w:rPr>
              <w:t>CSA claims were governed by the personal injury SOL, which was age 21 or 22, and the assault and battery SOL, which was age 25 (age 19, plus 6 years)</w:t>
            </w:r>
            <w:r w:rsidRPr="00F41D5D">
              <w:rPr>
                <w:rStyle w:val="EndnoteReference"/>
                <w:rFonts w:asciiTheme="majorBidi" w:eastAsia="Times New Roman" w:hAnsiTheme="majorBidi" w:cstheme="majorBidi"/>
              </w:rPr>
              <w:endnoteReference w:id="6"/>
            </w:r>
            <w:r w:rsidRPr="00F41D5D">
              <w:rPr>
                <w:rFonts w:asciiTheme="majorBidi" w:eastAsia="Times New Roman" w:hAnsiTheme="majorBidi" w:cstheme="majorBidi"/>
              </w:rPr>
              <w:t xml:space="preserve"> with a limit of 20 years from the date of accrual,</w:t>
            </w:r>
            <w:r w:rsidRPr="00F41D5D">
              <w:rPr>
                <w:rStyle w:val="EndnoteReference"/>
                <w:rFonts w:asciiTheme="majorBidi" w:eastAsia="Times New Roman" w:hAnsiTheme="majorBidi" w:cstheme="majorBidi"/>
              </w:rPr>
              <w:endnoteReference w:id="7"/>
            </w:r>
            <w:r w:rsidRPr="00F41D5D">
              <w:rPr>
                <w:rFonts w:asciiTheme="majorBidi" w:eastAsia="Times New Roman" w:hAnsiTheme="majorBidi" w:cstheme="majorBidi"/>
              </w:rPr>
              <w:t xml:space="preserve"> meaning no later than 20 years from the last date of the abuse.</w:t>
            </w:r>
            <w:r w:rsidRPr="00F41D5D">
              <w:rPr>
                <w:rStyle w:val="EndnoteReference"/>
                <w:rFonts w:asciiTheme="majorBidi" w:eastAsia="Times New Roman" w:hAnsiTheme="majorBidi" w:cstheme="majorBidi"/>
              </w:rPr>
              <w:endnoteReference w:id="8"/>
            </w:r>
          </w:p>
        </w:tc>
      </w:tr>
      <w:tr w:rsidR="00E66DCE" w:rsidRPr="00F41D5D" w14:paraId="52E433DF" w14:textId="77777777" w:rsidTr="00AC7AE3">
        <w:tc>
          <w:tcPr>
            <w:tcW w:w="870" w:type="dxa"/>
          </w:tcPr>
          <w:p w14:paraId="49849762" w14:textId="77777777" w:rsidR="00E66DCE" w:rsidRPr="00F41D5D" w:rsidRDefault="00E66DCE" w:rsidP="00AC7AE3">
            <w:pPr>
              <w:pStyle w:val="NormalWeb"/>
              <w:spacing w:before="0" w:beforeAutospacing="0" w:after="0" w:afterAutospacing="0"/>
              <w:textAlignment w:val="baseline"/>
              <w:rPr>
                <w:rStyle w:val="Strong"/>
                <w:rFonts w:asciiTheme="majorBidi" w:hAnsiTheme="majorBidi" w:cstheme="majorBidi"/>
                <w:b w:val="0"/>
                <w:bCs w:val="0"/>
                <w:color w:val="333333"/>
                <w:bdr w:val="none" w:sz="0" w:space="0" w:color="auto" w:frame="1"/>
              </w:rPr>
            </w:pPr>
            <w:r w:rsidRPr="00F41D5D">
              <w:rPr>
                <w:rStyle w:val="Strong"/>
                <w:rFonts w:asciiTheme="majorBidi" w:hAnsiTheme="majorBidi" w:cstheme="majorBidi"/>
                <w:color w:val="333333"/>
                <w:bdr w:val="none" w:sz="0" w:space="0" w:color="auto" w:frame="1"/>
              </w:rPr>
              <w:t>2010</w:t>
            </w:r>
          </w:p>
        </w:tc>
        <w:tc>
          <w:tcPr>
            <w:tcW w:w="8490" w:type="dxa"/>
          </w:tcPr>
          <w:p w14:paraId="7EB07778" w14:textId="77777777" w:rsidR="00E66DCE" w:rsidRPr="00F41D5D" w:rsidRDefault="00E66DCE" w:rsidP="00AC7AE3">
            <w:pPr>
              <w:jc w:val="both"/>
              <w:textAlignment w:val="baseline"/>
              <w:rPr>
                <w:rFonts w:asciiTheme="majorBidi" w:eastAsia="Times New Roman" w:hAnsiTheme="majorBidi" w:cstheme="majorBidi"/>
              </w:rPr>
            </w:pPr>
            <w:r w:rsidRPr="00F41D5D">
              <w:rPr>
                <w:rFonts w:asciiTheme="majorBidi" w:eastAsia="Times New Roman" w:hAnsiTheme="majorBidi" w:cstheme="majorBidi"/>
              </w:rPr>
              <w:t>Enacted its first human trafficking statute that tolled the civil SOL for sex trafficking claims for personal injury until age 21 (age 19, plus 2 years), and age 25 (age 19, plus 6 years) for assault, battery, or false imprisonment causes of action.</w:t>
            </w:r>
            <w:r w:rsidRPr="00F41D5D">
              <w:rPr>
                <w:rStyle w:val="EndnoteReference"/>
                <w:rFonts w:asciiTheme="majorBidi" w:eastAsia="Times New Roman" w:hAnsiTheme="majorBidi" w:cstheme="majorBidi"/>
              </w:rPr>
              <w:endnoteReference w:id="9"/>
            </w:r>
          </w:p>
        </w:tc>
      </w:tr>
      <w:tr w:rsidR="00E66DCE" w:rsidRPr="00F41D5D" w14:paraId="78F575AC" w14:textId="77777777" w:rsidTr="00AC7AE3">
        <w:tc>
          <w:tcPr>
            <w:tcW w:w="870" w:type="dxa"/>
          </w:tcPr>
          <w:p w14:paraId="17A6E6D4" w14:textId="77777777" w:rsidR="00E66DCE" w:rsidRPr="00F41D5D" w:rsidRDefault="00E66DCE" w:rsidP="00AC7AE3">
            <w:pPr>
              <w:pStyle w:val="NormalWeb"/>
              <w:spacing w:before="0" w:beforeAutospacing="0" w:after="0" w:afterAutospacing="0"/>
              <w:textAlignment w:val="baseline"/>
              <w:rPr>
                <w:rStyle w:val="Strong"/>
                <w:rFonts w:asciiTheme="majorBidi" w:hAnsiTheme="majorBidi" w:cstheme="majorBidi"/>
                <w:b w:val="0"/>
                <w:bCs w:val="0"/>
                <w:color w:val="333333"/>
                <w:bdr w:val="none" w:sz="0" w:space="0" w:color="auto" w:frame="1"/>
              </w:rPr>
            </w:pPr>
            <w:r w:rsidRPr="00F41D5D">
              <w:rPr>
                <w:rStyle w:val="Strong"/>
                <w:rFonts w:asciiTheme="majorBidi" w:hAnsiTheme="majorBidi" w:cstheme="majorBidi"/>
                <w:color w:val="333333"/>
                <w:bdr w:val="none" w:sz="0" w:space="0" w:color="auto" w:frame="1"/>
              </w:rPr>
              <w:t>2</w:t>
            </w:r>
            <w:r w:rsidRPr="00F41D5D">
              <w:rPr>
                <w:rStyle w:val="Strong"/>
                <w:rFonts w:asciiTheme="majorBidi" w:hAnsiTheme="majorBidi" w:cstheme="majorBidi"/>
              </w:rPr>
              <w:t>019</w:t>
            </w:r>
          </w:p>
        </w:tc>
        <w:tc>
          <w:tcPr>
            <w:tcW w:w="8490" w:type="dxa"/>
          </w:tcPr>
          <w:p w14:paraId="78F20D4F" w14:textId="77777777" w:rsidR="00E66DCE" w:rsidRPr="00F41D5D" w:rsidRDefault="00E66DCE" w:rsidP="00AC7AE3">
            <w:pPr>
              <w:jc w:val="both"/>
              <w:textAlignment w:val="baseline"/>
              <w:rPr>
                <w:rFonts w:asciiTheme="majorBidi" w:eastAsia="Times New Roman" w:hAnsiTheme="majorBidi" w:cstheme="majorBidi"/>
                <w:bdr w:val="none" w:sz="0" w:space="0" w:color="auto" w:frame="1"/>
                <w:vertAlign w:val="superscript"/>
              </w:rPr>
            </w:pPr>
            <w:r w:rsidRPr="00F41D5D">
              <w:rPr>
                <w:rFonts w:asciiTheme="majorBidi" w:eastAsia="Times New Roman" w:hAnsiTheme="majorBidi" w:cstheme="majorBidi"/>
              </w:rPr>
              <w:t>Extended the SOL to age 25 for all sex offenses against a person under 19 years of age (age 19, plus 6 years), including CSA, trafficking, and CSAM offenses.</w:t>
            </w:r>
            <w:r w:rsidRPr="00F41D5D">
              <w:rPr>
                <w:rStyle w:val="EndnoteReference"/>
                <w:rFonts w:asciiTheme="majorBidi" w:eastAsia="Times New Roman" w:hAnsiTheme="majorBidi" w:cstheme="majorBidi"/>
              </w:rPr>
              <w:endnoteReference w:id="10"/>
            </w:r>
          </w:p>
        </w:tc>
      </w:tr>
    </w:tbl>
    <w:p w14:paraId="7BB04FED" w14:textId="77777777" w:rsidR="00E66DCE" w:rsidRPr="00F41D5D" w:rsidRDefault="00E66DCE" w:rsidP="00E66DCE">
      <w:pPr>
        <w:pStyle w:val="NormalWeb"/>
        <w:shd w:val="clear" w:color="auto" w:fill="FFFFFF"/>
        <w:spacing w:before="0" w:beforeAutospacing="0" w:after="0" w:afterAutospacing="0"/>
        <w:textAlignment w:val="baseline"/>
        <w:rPr>
          <w:rStyle w:val="Strong"/>
          <w:rFonts w:asciiTheme="majorBidi" w:hAnsiTheme="majorBidi" w:cstheme="majorBidi"/>
          <w:b w:val="0"/>
          <w:bCs w:val="0"/>
          <w:color w:val="333333"/>
          <w:u w:val="single"/>
          <w:bdr w:val="none" w:sz="0" w:space="0" w:color="auto" w:frame="1"/>
        </w:rPr>
      </w:pPr>
    </w:p>
    <w:tbl>
      <w:tblPr>
        <w:tblStyle w:val="TableGrid"/>
        <w:tblW w:w="936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60"/>
      </w:tblGrid>
      <w:tr w:rsidR="00E66DCE" w:rsidRPr="00F41D5D" w14:paraId="66BE25FA" w14:textId="77777777" w:rsidTr="00AC7AE3">
        <w:tc>
          <w:tcPr>
            <w:tcW w:w="9360" w:type="dxa"/>
          </w:tcPr>
          <w:p w14:paraId="35F72E76" w14:textId="77777777" w:rsidR="00E66DCE" w:rsidRPr="00F41D5D" w:rsidRDefault="00E66DCE" w:rsidP="00AC7AE3">
            <w:pPr>
              <w:pStyle w:val="NormalWeb"/>
              <w:spacing w:before="0" w:beforeAutospacing="0" w:after="0" w:afterAutospacing="0"/>
              <w:textAlignment w:val="baseline"/>
              <w:rPr>
                <w:rFonts w:asciiTheme="majorBidi" w:hAnsiTheme="majorBidi" w:cstheme="majorBidi"/>
                <w:b/>
                <w:bCs/>
                <w:i/>
                <w:iCs/>
                <w:color w:val="333333"/>
                <w:bdr w:val="none" w:sz="0" w:space="0" w:color="auto" w:frame="1"/>
              </w:rPr>
            </w:pPr>
            <w:r w:rsidRPr="00F41D5D">
              <w:rPr>
                <w:rFonts w:asciiTheme="majorBidi" w:hAnsiTheme="majorBidi" w:cstheme="majorBidi"/>
                <w:b/>
                <w:bCs/>
                <w:i/>
                <w:iCs/>
                <w:color w:val="333333"/>
                <w:bdr w:val="none" w:sz="0" w:space="0" w:color="auto" w:frame="1"/>
              </w:rPr>
              <w:t>R</w:t>
            </w:r>
            <w:r w:rsidRPr="00F41D5D">
              <w:rPr>
                <w:rFonts w:asciiTheme="majorBidi" w:hAnsiTheme="majorBidi" w:cstheme="majorBidi"/>
                <w:b/>
                <w:bCs/>
                <w:i/>
                <w:iCs/>
              </w:rPr>
              <w:t>evival Law</w:t>
            </w:r>
          </w:p>
        </w:tc>
      </w:tr>
    </w:tbl>
    <w:tbl>
      <w:tblPr>
        <w:tblW w:w="936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0"/>
        <w:gridCol w:w="8460"/>
      </w:tblGrid>
      <w:tr w:rsidR="00E66DCE" w:rsidRPr="00F41D5D" w14:paraId="63B17A38" w14:textId="77777777" w:rsidTr="00AC7AE3">
        <w:tc>
          <w:tcPr>
            <w:tcW w:w="900" w:type="dxa"/>
          </w:tcPr>
          <w:p w14:paraId="27C3E21B" w14:textId="283CE483" w:rsidR="00E66DCE" w:rsidRPr="00F41D5D" w:rsidRDefault="00D31F3E" w:rsidP="00AC7AE3">
            <w:pPr>
              <w:pStyle w:val="NormalWeb"/>
              <w:spacing w:before="0" w:beforeAutospacing="0" w:after="0" w:afterAutospacing="0"/>
              <w:textAlignment w:val="baseline"/>
              <w:rPr>
                <w:rStyle w:val="Strong"/>
                <w:rFonts w:asciiTheme="majorBidi" w:hAnsiTheme="majorBidi" w:cstheme="majorBidi"/>
                <w:b w:val="0"/>
                <w:bCs w:val="0"/>
                <w:color w:val="333333"/>
                <w:bdr w:val="none" w:sz="0" w:space="0" w:color="auto" w:frame="1"/>
              </w:rPr>
            </w:pPr>
            <w:r w:rsidRPr="00F41D5D">
              <w:rPr>
                <w:rStyle w:val="Strong"/>
                <w:rFonts w:asciiTheme="majorBidi" w:hAnsiTheme="majorBidi" w:cstheme="majorBidi"/>
                <w:color w:val="333333"/>
                <w:bdr w:val="none" w:sz="0" w:space="0" w:color="auto" w:frame="1"/>
              </w:rPr>
              <w:t>2024</w:t>
            </w:r>
          </w:p>
        </w:tc>
        <w:tc>
          <w:tcPr>
            <w:tcW w:w="8460" w:type="dxa"/>
          </w:tcPr>
          <w:p w14:paraId="20C5EA12" w14:textId="2B096FD7" w:rsidR="00E66DCE" w:rsidRPr="00F41D5D" w:rsidRDefault="00D31F3E" w:rsidP="00AC7AE3">
            <w:pPr>
              <w:pStyle w:val="NormalWeb"/>
              <w:spacing w:before="0" w:beforeAutospacing="0" w:after="0" w:afterAutospacing="0"/>
              <w:jc w:val="both"/>
              <w:textAlignment w:val="baseline"/>
              <w:rPr>
                <w:rStyle w:val="Strong"/>
                <w:rFonts w:asciiTheme="majorBidi" w:hAnsiTheme="majorBidi" w:cstheme="majorBidi"/>
                <w:b w:val="0"/>
                <w:bCs w:val="0"/>
                <w:color w:val="333333"/>
                <w:bdr w:val="none" w:sz="0" w:space="0" w:color="auto" w:frame="1"/>
              </w:rPr>
            </w:pPr>
            <w:r w:rsidRPr="00F41D5D">
              <w:rPr>
                <w:rFonts w:asciiTheme="majorBidi" w:hAnsiTheme="majorBidi" w:cstheme="majorBidi"/>
              </w:rPr>
              <w:t>On April 4, 2024, opened a limited revival window until December 31, 2026</w:t>
            </w:r>
            <w:r w:rsidR="00845BE4" w:rsidRPr="00F41D5D">
              <w:rPr>
                <w:rFonts w:asciiTheme="majorBidi" w:hAnsiTheme="majorBidi" w:cstheme="majorBidi"/>
              </w:rPr>
              <w:t>,</w:t>
            </w:r>
            <w:r w:rsidRPr="00F41D5D">
              <w:rPr>
                <w:rFonts w:asciiTheme="majorBidi" w:hAnsiTheme="majorBidi" w:cstheme="majorBidi"/>
              </w:rPr>
              <w:t xml:space="preserve"> for </w:t>
            </w:r>
            <w:r w:rsidR="00551408" w:rsidRPr="00F41D5D">
              <w:rPr>
                <w:rFonts w:asciiTheme="majorBidi" w:hAnsiTheme="majorBidi" w:cstheme="majorBidi"/>
              </w:rPr>
              <w:t xml:space="preserve">claims </w:t>
            </w:r>
            <w:r w:rsidR="00D10541" w:rsidRPr="00F41D5D">
              <w:rPr>
                <w:rFonts w:asciiTheme="majorBidi" w:hAnsiTheme="majorBidi" w:cstheme="majorBidi"/>
              </w:rPr>
              <w:t xml:space="preserve">based on an injury involving a sex offense against an individual 19 years of age or </w:t>
            </w:r>
            <w:r w:rsidR="00551408" w:rsidRPr="00F41D5D">
              <w:rPr>
                <w:rFonts w:asciiTheme="majorBidi" w:hAnsiTheme="majorBidi" w:cstheme="majorBidi"/>
              </w:rPr>
              <w:t>younger against</w:t>
            </w:r>
            <w:r w:rsidRPr="00F41D5D">
              <w:rPr>
                <w:rFonts w:asciiTheme="majorBidi" w:hAnsiTheme="majorBidi" w:cstheme="majorBidi"/>
              </w:rPr>
              <w:t xml:space="preserve"> an entity initiating bankruptcy protection on February 18</w:t>
            </w:r>
            <w:r w:rsidR="00551408" w:rsidRPr="00F41D5D">
              <w:rPr>
                <w:rFonts w:asciiTheme="majorBidi" w:hAnsiTheme="majorBidi" w:cstheme="majorBidi"/>
              </w:rPr>
              <w:t>,</w:t>
            </w:r>
            <w:r w:rsidRPr="00F41D5D">
              <w:rPr>
                <w:rFonts w:asciiTheme="majorBidi" w:hAnsiTheme="majorBidi" w:cstheme="majorBidi"/>
              </w:rPr>
              <w:t xml:space="preserve"> 2020, </w:t>
            </w:r>
            <w:r w:rsidRPr="00F41D5D">
              <w:rPr>
                <w:rFonts w:asciiTheme="majorBidi" w:hAnsiTheme="majorBidi" w:cstheme="majorBidi"/>
                <w:i/>
                <w:iCs/>
              </w:rPr>
              <w:t>i.e.</w:t>
            </w:r>
            <w:r w:rsidRPr="00F41D5D">
              <w:rPr>
                <w:rFonts w:asciiTheme="majorBidi" w:hAnsiTheme="majorBidi" w:cstheme="majorBidi"/>
              </w:rPr>
              <w:t xml:space="preserve"> the Boy Scouts of America.</w:t>
            </w:r>
            <w:r w:rsidRPr="00F41D5D">
              <w:rPr>
                <w:rStyle w:val="EndnoteReference"/>
                <w:rFonts w:asciiTheme="majorBidi" w:hAnsiTheme="majorBidi" w:cstheme="majorBidi"/>
              </w:rPr>
              <w:endnoteReference w:id="11"/>
            </w:r>
          </w:p>
        </w:tc>
      </w:tr>
    </w:tbl>
    <w:p w14:paraId="2AAAB3B3" w14:textId="77777777" w:rsidR="00E66DCE" w:rsidRPr="00F41D5D" w:rsidRDefault="00E66DCE" w:rsidP="00E66DCE">
      <w:pPr>
        <w:rPr>
          <w:rFonts w:asciiTheme="majorBidi" w:hAnsiTheme="majorBidi" w:cstheme="majorBidi"/>
          <w:iCs/>
          <w:u w:val="single"/>
        </w:rPr>
      </w:pPr>
    </w:p>
    <w:p w14:paraId="1B588C0C" w14:textId="77777777" w:rsidR="00AC17B6" w:rsidRPr="00F41D5D" w:rsidRDefault="00AC17B6" w:rsidP="00E66DCE">
      <w:pPr>
        <w:rPr>
          <w:rFonts w:asciiTheme="majorBidi" w:hAnsiTheme="majorBidi" w:cstheme="majorBidi"/>
          <w:iCs/>
          <w:u w:val="single"/>
        </w:rPr>
      </w:pPr>
    </w:p>
    <w:p w14:paraId="5015C482" w14:textId="77777777" w:rsidR="00AC17B6" w:rsidRPr="00F41D5D" w:rsidRDefault="00AC17B6" w:rsidP="00E66DCE">
      <w:pPr>
        <w:rPr>
          <w:rFonts w:asciiTheme="majorBidi" w:hAnsiTheme="majorBidi" w:cstheme="majorBidi"/>
          <w:iCs/>
          <w:u w:val="single"/>
        </w:rPr>
      </w:pPr>
    </w:p>
    <w:tbl>
      <w:tblPr>
        <w:tblStyle w:val="TableGrid"/>
        <w:tblW w:w="936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60"/>
      </w:tblGrid>
      <w:tr w:rsidR="00E66DCE" w:rsidRPr="00F41D5D" w14:paraId="6EA384F3" w14:textId="77777777" w:rsidTr="00AC7AE3">
        <w:tc>
          <w:tcPr>
            <w:tcW w:w="9360" w:type="dxa"/>
          </w:tcPr>
          <w:p w14:paraId="71BCAF71" w14:textId="77777777" w:rsidR="00E66DCE" w:rsidRPr="00F41D5D" w:rsidRDefault="00E66DCE" w:rsidP="00AC7AE3">
            <w:pPr>
              <w:pStyle w:val="NormalWeb"/>
              <w:spacing w:before="0" w:beforeAutospacing="0" w:after="0" w:afterAutospacing="0"/>
              <w:textAlignment w:val="baseline"/>
              <w:rPr>
                <w:rFonts w:asciiTheme="majorBidi" w:hAnsiTheme="majorBidi" w:cstheme="majorBidi"/>
                <w:b/>
                <w:bCs/>
                <w:i/>
                <w:iCs/>
                <w:color w:val="333333"/>
                <w:bdr w:val="none" w:sz="0" w:space="0" w:color="auto" w:frame="1"/>
              </w:rPr>
            </w:pPr>
            <w:r w:rsidRPr="00F41D5D">
              <w:rPr>
                <w:rFonts w:asciiTheme="majorBidi" w:hAnsiTheme="majorBidi" w:cstheme="majorBidi"/>
                <w:b/>
                <w:i/>
                <w:color w:val="333333"/>
                <w:bdr w:val="none" w:sz="0" w:space="0" w:color="auto" w:frame="1"/>
              </w:rPr>
              <w:t>Discovery</w:t>
            </w:r>
          </w:p>
        </w:tc>
      </w:tr>
    </w:tbl>
    <w:tbl>
      <w:tblPr>
        <w:tblW w:w="936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00"/>
        <w:gridCol w:w="7560"/>
      </w:tblGrid>
      <w:tr w:rsidR="00E66DCE" w:rsidRPr="00F41D5D" w14:paraId="09B91FEF" w14:textId="77777777" w:rsidTr="00AC7AE3">
        <w:tc>
          <w:tcPr>
            <w:tcW w:w="1800" w:type="dxa"/>
          </w:tcPr>
          <w:p w14:paraId="123044B5" w14:textId="77777777" w:rsidR="00E66DCE" w:rsidRPr="00F41D5D" w:rsidRDefault="00E66DCE" w:rsidP="00AC7AE3">
            <w:pPr>
              <w:pStyle w:val="NormalWeb"/>
              <w:spacing w:before="0" w:beforeAutospacing="0" w:after="0" w:afterAutospacing="0"/>
              <w:textAlignment w:val="baseline"/>
              <w:rPr>
                <w:rStyle w:val="Strong"/>
                <w:rFonts w:asciiTheme="majorBidi" w:hAnsiTheme="majorBidi" w:cstheme="majorBidi"/>
                <w:b w:val="0"/>
                <w:bCs w:val="0"/>
                <w:color w:val="333333"/>
                <w:bdr w:val="none" w:sz="0" w:space="0" w:color="auto" w:frame="1"/>
              </w:rPr>
            </w:pPr>
            <w:r w:rsidRPr="00F41D5D">
              <w:rPr>
                <w:rStyle w:val="Strong"/>
                <w:rFonts w:asciiTheme="majorBidi" w:hAnsiTheme="majorBidi" w:cstheme="majorBidi"/>
                <w:color w:val="333333"/>
                <w:bdr w:val="none" w:sz="0" w:space="0" w:color="auto" w:frame="1"/>
              </w:rPr>
              <w:t>Common Law</w:t>
            </w:r>
          </w:p>
        </w:tc>
        <w:tc>
          <w:tcPr>
            <w:tcW w:w="7560" w:type="dxa"/>
          </w:tcPr>
          <w:p w14:paraId="60C892EB" w14:textId="77777777" w:rsidR="00E66DCE" w:rsidRPr="00F41D5D" w:rsidRDefault="00E66DCE" w:rsidP="00AC7AE3">
            <w:pPr>
              <w:pStyle w:val="NormalWeb"/>
              <w:jc w:val="both"/>
              <w:textAlignment w:val="baseline"/>
              <w:rPr>
                <w:rFonts w:asciiTheme="majorBidi" w:hAnsiTheme="majorBidi" w:cstheme="majorBidi"/>
                <w:color w:val="333333"/>
                <w:bdr w:val="none" w:sz="0" w:space="0" w:color="auto" w:frame="1"/>
              </w:rPr>
            </w:pPr>
            <w:r w:rsidRPr="00F41D5D">
              <w:rPr>
                <w:rFonts w:asciiTheme="majorBidi" w:hAnsiTheme="majorBidi" w:cstheme="majorBidi"/>
              </w:rPr>
              <w:t>No common law discovery rule applicable to CSA claims.</w:t>
            </w:r>
            <w:r w:rsidRPr="00F41D5D">
              <w:rPr>
                <w:rFonts w:asciiTheme="majorBidi" w:hAnsiTheme="majorBidi" w:cstheme="majorBidi"/>
                <w:vertAlign w:val="superscript"/>
              </w:rPr>
              <w:endnoteReference w:id="12"/>
            </w:r>
            <w:r w:rsidRPr="00F41D5D">
              <w:rPr>
                <w:rFonts w:asciiTheme="majorBidi" w:hAnsiTheme="majorBidi" w:cstheme="majorBidi"/>
              </w:rPr>
              <w:t xml:space="preserve">  </w:t>
            </w:r>
          </w:p>
        </w:tc>
      </w:tr>
      <w:tr w:rsidR="00E66DCE" w:rsidRPr="00F41D5D" w14:paraId="6956B06D" w14:textId="77777777" w:rsidTr="00AC7AE3">
        <w:tc>
          <w:tcPr>
            <w:tcW w:w="1800" w:type="dxa"/>
          </w:tcPr>
          <w:p w14:paraId="1E0AD025" w14:textId="77777777" w:rsidR="00E66DCE" w:rsidRPr="00F41D5D" w:rsidRDefault="00E66DCE" w:rsidP="00AC7AE3">
            <w:pPr>
              <w:pStyle w:val="NormalWeb"/>
              <w:spacing w:before="0" w:beforeAutospacing="0" w:after="0" w:afterAutospacing="0"/>
              <w:textAlignment w:val="baseline"/>
              <w:rPr>
                <w:rStyle w:val="Strong"/>
                <w:rFonts w:asciiTheme="majorBidi" w:hAnsiTheme="majorBidi" w:cstheme="majorBidi"/>
                <w:b w:val="0"/>
                <w:bCs w:val="0"/>
                <w:color w:val="333333"/>
                <w:bdr w:val="none" w:sz="0" w:space="0" w:color="auto" w:frame="1"/>
              </w:rPr>
            </w:pPr>
            <w:r w:rsidRPr="00F41D5D">
              <w:rPr>
                <w:rStyle w:val="Strong"/>
                <w:rFonts w:asciiTheme="majorBidi" w:hAnsiTheme="majorBidi" w:cstheme="majorBidi"/>
                <w:color w:val="333333"/>
                <w:bdr w:val="none" w:sz="0" w:space="0" w:color="auto" w:frame="1"/>
              </w:rPr>
              <w:lastRenderedPageBreak/>
              <w:t>Statutory</w:t>
            </w:r>
          </w:p>
        </w:tc>
        <w:tc>
          <w:tcPr>
            <w:tcW w:w="7560" w:type="dxa"/>
          </w:tcPr>
          <w:p w14:paraId="1FDFD763" w14:textId="58F15B25" w:rsidR="00E66DCE" w:rsidRPr="00F41D5D" w:rsidRDefault="00E66DCE" w:rsidP="00AC7AE3">
            <w:pPr>
              <w:pStyle w:val="NormalWeb"/>
              <w:jc w:val="both"/>
              <w:textAlignment w:val="baseline"/>
              <w:rPr>
                <w:rFonts w:asciiTheme="majorBidi" w:hAnsiTheme="majorBidi" w:cstheme="majorBidi"/>
              </w:rPr>
            </w:pPr>
            <w:r w:rsidRPr="00F41D5D">
              <w:rPr>
                <w:rFonts w:asciiTheme="majorBidi" w:hAnsiTheme="majorBidi" w:cstheme="majorBidi"/>
              </w:rPr>
              <w:t>No statutory discovery rule applicable to general CSA claims.</w:t>
            </w:r>
            <w:r w:rsidRPr="00F41D5D">
              <w:rPr>
                <w:rFonts w:asciiTheme="majorBidi" w:hAnsiTheme="majorBidi" w:cstheme="majorBidi"/>
                <w:vertAlign w:val="superscript"/>
              </w:rPr>
              <w:endnoteReference w:id="13"/>
            </w:r>
            <w:r w:rsidRPr="00F41D5D">
              <w:rPr>
                <w:rFonts w:asciiTheme="majorBidi" w:hAnsiTheme="majorBidi" w:cstheme="majorBidi"/>
              </w:rPr>
              <w:t xml:space="preserve">  In 2010, it adopted a statutory discovery rule for human trafficking</w:t>
            </w:r>
            <w:r w:rsidR="003F3170" w:rsidRPr="00F41D5D">
              <w:rPr>
                <w:rFonts w:asciiTheme="majorBidi" w:hAnsiTheme="majorBidi" w:cstheme="majorBidi"/>
              </w:rPr>
              <w:t>,</w:t>
            </w:r>
            <w:r w:rsidRPr="00F41D5D">
              <w:rPr>
                <w:rFonts w:asciiTheme="majorBidi" w:hAnsiTheme="majorBidi" w:cstheme="majorBidi"/>
              </w:rPr>
              <w:t xml:space="preserve"> tolling the SOL “until the plaintiff discovers both that the sex trade act occurred and that the defendant caused, was responsible for, or profited from the sex trade act.”</w:t>
            </w:r>
            <w:r w:rsidRPr="00F41D5D">
              <w:rPr>
                <w:rStyle w:val="EndnoteReference"/>
                <w:rFonts w:asciiTheme="majorBidi" w:eastAsiaTheme="majorEastAsia" w:hAnsiTheme="majorBidi" w:cstheme="majorBidi"/>
              </w:rPr>
              <w:endnoteReference w:id="14"/>
            </w:r>
            <w:r w:rsidRPr="00F41D5D">
              <w:rPr>
                <w:rFonts w:asciiTheme="majorBidi" w:hAnsiTheme="majorBidi" w:cstheme="majorBidi"/>
              </w:rPr>
              <w:t xml:space="preserve"> The discovery statute is applicable to claims against all defendants, except the State, which has sovereign immunity.</w:t>
            </w:r>
            <w:r w:rsidRPr="00F41D5D">
              <w:rPr>
                <w:rStyle w:val="EndnoteReference"/>
                <w:rFonts w:asciiTheme="majorBidi" w:eastAsiaTheme="majorEastAsia" w:hAnsiTheme="majorBidi" w:cstheme="majorBidi"/>
              </w:rPr>
              <w:endnoteReference w:id="15"/>
            </w:r>
          </w:p>
        </w:tc>
      </w:tr>
    </w:tbl>
    <w:p w14:paraId="4E0D1D32" w14:textId="77777777" w:rsidR="00AC17B6" w:rsidRPr="00F41D5D" w:rsidRDefault="00AC17B6" w:rsidP="00E66DCE">
      <w:pPr>
        <w:spacing w:line="259" w:lineRule="auto"/>
        <w:rPr>
          <w:rFonts w:asciiTheme="majorBidi" w:hAnsiTheme="majorBidi" w:cstheme="majorBidi"/>
          <w:b/>
          <w:bCs/>
          <w:sz w:val="40"/>
          <w:szCs w:val="40"/>
        </w:rPr>
      </w:pPr>
    </w:p>
    <w:p w14:paraId="3F41A212" w14:textId="77777777" w:rsidR="00E66DCE" w:rsidRPr="00F41D5D" w:rsidRDefault="00E66DCE" w:rsidP="00E66DCE">
      <w:pPr>
        <w:spacing w:line="259" w:lineRule="auto"/>
        <w:rPr>
          <w:rFonts w:asciiTheme="majorBidi" w:hAnsiTheme="majorBidi" w:cstheme="majorBidi"/>
          <w:b/>
          <w:bCs/>
          <w:sz w:val="40"/>
          <w:szCs w:val="40"/>
        </w:rPr>
      </w:pPr>
    </w:p>
    <w:p w14:paraId="53F35525" w14:textId="77777777" w:rsidR="00E66DCE" w:rsidRPr="00F41D5D" w:rsidRDefault="00E66DCE" w:rsidP="00E66DCE">
      <w:pPr>
        <w:jc w:val="center"/>
        <w:rPr>
          <w:rFonts w:asciiTheme="majorBidi" w:hAnsiTheme="majorBidi" w:cstheme="majorBidi"/>
          <w:b/>
          <w:bCs/>
          <w:sz w:val="40"/>
          <w:szCs w:val="40"/>
        </w:rPr>
      </w:pPr>
      <w:r w:rsidRPr="00F41D5D">
        <w:rPr>
          <w:rFonts w:asciiTheme="majorBidi" w:hAnsiTheme="majorBidi" w:cstheme="majorBidi"/>
          <w:b/>
          <w:bCs/>
          <w:sz w:val="40"/>
          <w:szCs w:val="40"/>
        </w:rPr>
        <w:t>ALABAMA</w:t>
      </w:r>
    </w:p>
    <w:p w14:paraId="391646A8" w14:textId="77777777" w:rsidR="00E66DCE" w:rsidRPr="00F41D5D" w:rsidRDefault="00E66DCE" w:rsidP="00E66DCE">
      <w:pPr>
        <w:rPr>
          <w:rFonts w:asciiTheme="majorBidi" w:hAnsiTheme="majorBidi" w:cstheme="majorBidi"/>
          <w:b/>
          <w:bCs/>
        </w:rPr>
      </w:pPr>
    </w:p>
    <w:tbl>
      <w:tblPr>
        <w:tblStyle w:val="TableGrid"/>
        <w:tblW w:w="0" w:type="auto"/>
        <w:tblInd w:w="625" w:type="dxa"/>
        <w:tblLook w:val="04A0" w:firstRow="1" w:lastRow="0" w:firstColumn="1" w:lastColumn="0" w:noHBand="0" w:noVBand="1"/>
      </w:tblPr>
      <w:tblGrid>
        <w:gridCol w:w="4140"/>
        <w:gridCol w:w="4140"/>
      </w:tblGrid>
      <w:tr w:rsidR="00E66DCE" w:rsidRPr="00F41D5D" w14:paraId="194CF4DC" w14:textId="77777777" w:rsidTr="003470F0">
        <w:trPr>
          <w:trHeight w:val="494"/>
        </w:trPr>
        <w:tc>
          <w:tcPr>
            <w:tcW w:w="8280" w:type="dxa"/>
            <w:gridSpan w:val="2"/>
            <w:shd w:val="clear" w:color="auto" w:fill="0A2E63"/>
            <w:vAlign w:val="center"/>
          </w:tcPr>
          <w:p w14:paraId="26A1692F" w14:textId="77777777" w:rsidR="00E66DCE" w:rsidRPr="00F41D5D" w:rsidRDefault="00E66DCE" w:rsidP="00AC7AE3">
            <w:pPr>
              <w:jc w:val="center"/>
              <w:rPr>
                <w:rFonts w:asciiTheme="majorBidi" w:hAnsiTheme="majorBidi" w:cstheme="majorBidi"/>
                <w:b/>
                <w:bCs/>
                <w:color w:val="FFFFFF" w:themeColor="background1"/>
                <w:sz w:val="28"/>
                <w:szCs w:val="28"/>
              </w:rPr>
            </w:pPr>
            <w:r w:rsidRPr="00F41D5D">
              <w:rPr>
                <w:rFonts w:asciiTheme="majorBidi" w:hAnsiTheme="majorBidi" w:cstheme="majorBidi"/>
                <w:b/>
                <w:bCs/>
                <w:color w:val="FFFFFF" w:themeColor="background1"/>
                <w:sz w:val="28"/>
                <w:szCs w:val="28"/>
              </w:rPr>
              <w:t>Current Criminal SOL</w:t>
            </w:r>
          </w:p>
        </w:tc>
      </w:tr>
      <w:tr w:rsidR="00E66DCE" w:rsidRPr="00F41D5D" w14:paraId="09873432" w14:textId="77777777" w:rsidTr="003470F0">
        <w:trPr>
          <w:trHeight w:val="362"/>
        </w:trPr>
        <w:tc>
          <w:tcPr>
            <w:tcW w:w="4140" w:type="dxa"/>
            <w:shd w:val="clear" w:color="auto" w:fill="auto"/>
            <w:vAlign w:val="center"/>
          </w:tcPr>
          <w:p w14:paraId="385A6C05" w14:textId="77777777" w:rsidR="00E66DCE" w:rsidRPr="00F41D5D" w:rsidRDefault="00E66DCE" w:rsidP="00AC7AE3">
            <w:pPr>
              <w:rPr>
                <w:rFonts w:asciiTheme="majorBidi" w:hAnsiTheme="majorBidi" w:cstheme="majorBidi"/>
                <w:b/>
                <w:sz w:val="28"/>
                <w:szCs w:val="28"/>
              </w:rPr>
            </w:pPr>
            <w:r w:rsidRPr="00F41D5D">
              <w:rPr>
                <w:rFonts w:asciiTheme="majorBidi" w:hAnsiTheme="majorBidi" w:cstheme="majorBidi"/>
                <w:b/>
                <w:bCs/>
                <w:sz w:val="28"/>
                <w:szCs w:val="28"/>
              </w:rPr>
              <w:t>CSA</w:t>
            </w:r>
          </w:p>
        </w:tc>
        <w:tc>
          <w:tcPr>
            <w:tcW w:w="4140" w:type="dxa"/>
            <w:shd w:val="clear" w:color="auto" w:fill="auto"/>
            <w:vAlign w:val="center"/>
          </w:tcPr>
          <w:p w14:paraId="7FEEDC52" w14:textId="77777777" w:rsidR="00E66DCE" w:rsidRPr="00F41D5D" w:rsidRDefault="00E66DCE" w:rsidP="00AC7AE3">
            <w:pPr>
              <w:rPr>
                <w:rFonts w:asciiTheme="majorBidi" w:hAnsiTheme="majorBidi" w:cstheme="majorBidi"/>
                <w:sz w:val="28"/>
                <w:szCs w:val="28"/>
              </w:rPr>
            </w:pPr>
            <w:r w:rsidRPr="00F41D5D">
              <w:rPr>
                <w:rFonts w:asciiTheme="majorBidi" w:hAnsiTheme="majorBidi" w:cstheme="majorBidi"/>
                <w:sz w:val="28"/>
                <w:szCs w:val="28"/>
              </w:rPr>
              <w:t>No SOL</w:t>
            </w:r>
          </w:p>
        </w:tc>
      </w:tr>
      <w:tr w:rsidR="00E66DCE" w:rsidRPr="00F41D5D" w14:paraId="2F789E96" w14:textId="77777777" w:rsidTr="003470F0">
        <w:trPr>
          <w:trHeight w:val="362"/>
        </w:trPr>
        <w:tc>
          <w:tcPr>
            <w:tcW w:w="4140" w:type="dxa"/>
            <w:shd w:val="clear" w:color="auto" w:fill="auto"/>
            <w:vAlign w:val="center"/>
          </w:tcPr>
          <w:p w14:paraId="22EA2620" w14:textId="77777777" w:rsidR="00E66DCE" w:rsidRPr="00F41D5D" w:rsidRDefault="00E66DCE" w:rsidP="00AC7AE3">
            <w:pPr>
              <w:rPr>
                <w:rFonts w:asciiTheme="majorBidi" w:hAnsiTheme="majorBidi" w:cstheme="majorBidi"/>
                <w:b/>
                <w:bCs/>
                <w:sz w:val="28"/>
                <w:szCs w:val="28"/>
              </w:rPr>
            </w:pPr>
            <w:r w:rsidRPr="00F41D5D">
              <w:rPr>
                <w:rFonts w:asciiTheme="majorBidi" w:hAnsiTheme="majorBidi" w:cstheme="majorBidi"/>
                <w:b/>
                <w:bCs/>
                <w:sz w:val="28"/>
                <w:szCs w:val="28"/>
              </w:rPr>
              <w:t>Trafficking</w:t>
            </w:r>
          </w:p>
        </w:tc>
        <w:tc>
          <w:tcPr>
            <w:tcW w:w="4140" w:type="dxa"/>
            <w:shd w:val="clear" w:color="auto" w:fill="auto"/>
            <w:vAlign w:val="center"/>
          </w:tcPr>
          <w:p w14:paraId="0BC569CD" w14:textId="77777777" w:rsidR="00E66DCE" w:rsidRPr="00F41D5D" w:rsidRDefault="00E66DCE" w:rsidP="00AC7AE3">
            <w:pPr>
              <w:rPr>
                <w:rFonts w:asciiTheme="majorBidi" w:hAnsiTheme="majorBidi" w:cstheme="majorBidi"/>
                <w:sz w:val="28"/>
                <w:szCs w:val="28"/>
              </w:rPr>
            </w:pPr>
            <w:r w:rsidRPr="00F41D5D">
              <w:rPr>
                <w:rFonts w:asciiTheme="majorBidi" w:hAnsiTheme="majorBidi" w:cstheme="majorBidi"/>
                <w:sz w:val="28"/>
                <w:szCs w:val="28"/>
              </w:rPr>
              <w:t>No SOL (under age 16)</w:t>
            </w:r>
          </w:p>
        </w:tc>
      </w:tr>
      <w:tr w:rsidR="00E66DCE" w:rsidRPr="00F41D5D" w14:paraId="294FED40" w14:textId="77777777" w:rsidTr="003470F0">
        <w:trPr>
          <w:trHeight w:val="362"/>
        </w:trPr>
        <w:tc>
          <w:tcPr>
            <w:tcW w:w="4140" w:type="dxa"/>
            <w:shd w:val="clear" w:color="auto" w:fill="auto"/>
            <w:vAlign w:val="center"/>
          </w:tcPr>
          <w:p w14:paraId="4168B46A" w14:textId="77777777" w:rsidR="00E66DCE" w:rsidRPr="00F41D5D" w:rsidRDefault="00E66DCE" w:rsidP="00AC7AE3">
            <w:pPr>
              <w:rPr>
                <w:rFonts w:asciiTheme="majorBidi" w:hAnsiTheme="majorBidi" w:cstheme="majorBidi"/>
                <w:b/>
                <w:bCs/>
                <w:sz w:val="28"/>
                <w:szCs w:val="28"/>
              </w:rPr>
            </w:pPr>
            <w:r w:rsidRPr="00F41D5D">
              <w:rPr>
                <w:rFonts w:asciiTheme="majorBidi" w:hAnsiTheme="majorBidi" w:cstheme="majorBidi"/>
                <w:b/>
                <w:bCs/>
                <w:sz w:val="28"/>
                <w:szCs w:val="28"/>
              </w:rPr>
              <w:t>CSAM</w:t>
            </w:r>
          </w:p>
        </w:tc>
        <w:tc>
          <w:tcPr>
            <w:tcW w:w="4140" w:type="dxa"/>
            <w:shd w:val="clear" w:color="auto" w:fill="auto"/>
            <w:vAlign w:val="center"/>
          </w:tcPr>
          <w:p w14:paraId="68DE0AC4" w14:textId="77777777" w:rsidR="00E66DCE" w:rsidRPr="00F41D5D" w:rsidRDefault="00E66DCE" w:rsidP="00AC7AE3">
            <w:pPr>
              <w:rPr>
                <w:rFonts w:asciiTheme="majorBidi" w:hAnsiTheme="majorBidi" w:cstheme="majorBidi"/>
                <w:sz w:val="28"/>
                <w:szCs w:val="28"/>
              </w:rPr>
            </w:pPr>
            <w:r w:rsidRPr="00F41D5D">
              <w:rPr>
                <w:rFonts w:asciiTheme="majorBidi" w:hAnsiTheme="majorBidi" w:cstheme="majorBidi"/>
                <w:sz w:val="28"/>
                <w:szCs w:val="28"/>
              </w:rPr>
              <w:t>No SOL (under age 16)</w:t>
            </w:r>
          </w:p>
        </w:tc>
      </w:tr>
    </w:tbl>
    <w:p w14:paraId="7A4D873D" w14:textId="77777777" w:rsidR="00E66DCE" w:rsidRPr="00F41D5D" w:rsidRDefault="00E66DCE" w:rsidP="00E66DCE">
      <w:pPr>
        <w:jc w:val="center"/>
        <w:rPr>
          <w:rFonts w:asciiTheme="majorBidi" w:hAnsiTheme="majorBidi" w:cstheme="majorBidi"/>
        </w:rPr>
      </w:pPr>
    </w:p>
    <w:p w14:paraId="0B4A2AF2" w14:textId="77777777" w:rsidR="00E66DCE" w:rsidRPr="00F41D5D" w:rsidRDefault="00E66DCE" w:rsidP="00E66DCE">
      <w:pPr>
        <w:jc w:val="both"/>
        <w:rPr>
          <w:rFonts w:asciiTheme="majorBidi" w:eastAsia="Times New Roman" w:hAnsiTheme="majorBidi" w:cstheme="majorBidi"/>
          <w:b/>
          <w:bCs/>
        </w:rPr>
      </w:pPr>
      <w:r w:rsidRPr="00F41D5D">
        <w:rPr>
          <w:rFonts w:asciiTheme="majorBidi" w:eastAsia="Times New Roman" w:hAnsiTheme="majorBidi" w:cstheme="majorBidi"/>
          <w:b/>
          <w:bCs/>
        </w:rPr>
        <w:t xml:space="preserve">Summary: </w:t>
      </w:r>
    </w:p>
    <w:p w14:paraId="375E3C17" w14:textId="77777777" w:rsidR="00E66DCE" w:rsidRPr="00F41D5D" w:rsidRDefault="00E66DCE" w:rsidP="00E66DCE">
      <w:pPr>
        <w:jc w:val="both"/>
        <w:rPr>
          <w:rFonts w:asciiTheme="majorBidi" w:eastAsia="Times New Roman" w:hAnsiTheme="majorBidi" w:cstheme="majorBidi"/>
          <w:b/>
          <w:bCs/>
        </w:rPr>
      </w:pPr>
    </w:p>
    <w:p w14:paraId="3533FE58" w14:textId="77777777" w:rsidR="00E66DCE" w:rsidRPr="00F41D5D" w:rsidRDefault="00E66DCE" w:rsidP="00E66DCE">
      <w:pPr>
        <w:ind w:left="720"/>
        <w:jc w:val="both"/>
        <w:rPr>
          <w:rFonts w:asciiTheme="majorBidi" w:eastAsia="Times New Roman" w:hAnsiTheme="majorBidi" w:cstheme="majorBidi"/>
          <w:b/>
          <w:bCs/>
        </w:rPr>
      </w:pPr>
      <w:r w:rsidRPr="00F41D5D">
        <w:rPr>
          <w:rFonts w:asciiTheme="majorBidi" w:eastAsia="Times New Roman" w:hAnsiTheme="majorBidi" w:cstheme="majorBidi"/>
          <w:b/>
          <w:bCs/>
        </w:rPr>
        <w:t>CSA: There is no SOL for felony and misdemeanor sex offenses. There is an SOL of five years from the offense for other felonies and one year for misdemeanors.</w:t>
      </w:r>
    </w:p>
    <w:p w14:paraId="26B15475" w14:textId="77777777" w:rsidR="00E66DCE" w:rsidRPr="00F41D5D" w:rsidRDefault="00E66DCE" w:rsidP="00E66DCE">
      <w:pPr>
        <w:ind w:left="720"/>
        <w:jc w:val="both"/>
        <w:rPr>
          <w:rFonts w:asciiTheme="majorBidi" w:eastAsia="Times New Roman" w:hAnsiTheme="majorBidi" w:cstheme="majorBidi"/>
          <w:b/>
          <w:bCs/>
        </w:rPr>
      </w:pPr>
    </w:p>
    <w:p w14:paraId="7C01C1D9" w14:textId="77777777" w:rsidR="00E66DCE" w:rsidRPr="00F41D5D" w:rsidRDefault="00E66DCE" w:rsidP="00E66DCE">
      <w:pPr>
        <w:ind w:left="720"/>
        <w:jc w:val="both"/>
        <w:rPr>
          <w:rFonts w:asciiTheme="majorBidi" w:hAnsiTheme="majorBidi" w:cstheme="majorBidi"/>
          <w:b/>
          <w:bCs/>
          <w:iCs/>
        </w:rPr>
      </w:pPr>
      <w:r w:rsidRPr="00F41D5D">
        <w:rPr>
          <w:rFonts w:asciiTheme="majorBidi" w:eastAsia="Times New Roman" w:hAnsiTheme="majorBidi" w:cstheme="majorBidi"/>
          <w:b/>
          <w:bCs/>
        </w:rPr>
        <w:t xml:space="preserve">Trafficking: There is no SOL for trafficking offenses against victims under age 16, and for victims ages 16 and 17 the SOL is age twenty-four. </w:t>
      </w:r>
    </w:p>
    <w:p w14:paraId="6A76AE9F" w14:textId="77777777" w:rsidR="00E66DCE" w:rsidRPr="00F41D5D" w:rsidRDefault="00E66DCE" w:rsidP="00E66DCE">
      <w:pPr>
        <w:ind w:left="720"/>
        <w:jc w:val="both"/>
        <w:rPr>
          <w:rFonts w:asciiTheme="majorBidi" w:eastAsia="Times New Roman" w:hAnsiTheme="majorBidi" w:cstheme="majorBidi"/>
          <w:b/>
          <w:bCs/>
        </w:rPr>
      </w:pPr>
    </w:p>
    <w:p w14:paraId="6615EF4A" w14:textId="77777777" w:rsidR="00E66DCE" w:rsidRPr="00F41D5D" w:rsidRDefault="00E66DCE" w:rsidP="00E66DCE">
      <w:pPr>
        <w:ind w:left="720"/>
        <w:jc w:val="both"/>
        <w:rPr>
          <w:rFonts w:asciiTheme="majorBidi" w:eastAsia="Times New Roman" w:hAnsiTheme="majorBidi" w:cstheme="majorBidi"/>
          <w:b/>
          <w:bCs/>
        </w:rPr>
      </w:pPr>
      <w:r w:rsidRPr="00F41D5D">
        <w:rPr>
          <w:rFonts w:asciiTheme="majorBidi" w:eastAsia="Times New Roman" w:hAnsiTheme="majorBidi" w:cstheme="majorBidi"/>
          <w:b/>
          <w:bCs/>
        </w:rPr>
        <w:t>CSAM: There is no SOL for CSAM offenses against victims under age 16, and for victims ages 16 and 17 the SOL is age twenty-four.</w:t>
      </w:r>
    </w:p>
    <w:p w14:paraId="2ADB79BC" w14:textId="77777777" w:rsidR="00E66DCE" w:rsidRPr="00F41D5D" w:rsidRDefault="00E66DCE" w:rsidP="00E66DCE">
      <w:pPr>
        <w:rPr>
          <w:rFonts w:asciiTheme="majorBidi" w:hAnsiTheme="majorBidi" w:cstheme="majorBidi"/>
          <w:iCs/>
        </w:rPr>
      </w:pPr>
    </w:p>
    <w:p w14:paraId="40D9DD51" w14:textId="77777777" w:rsidR="00E66DCE" w:rsidRPr="00F41D5D" w:rsidRDefault="00E66DCE" w:rsidP="00E66DCE">
      <w:pPr>
        <w:jc w:val="both"/>
        <w:rPr>
          <w:rFonts w:asciiTheme="majorBidi" w:eastAsia="Times New Roman" w:hAnsiTheme="majorBidi" w:cstheme="majorBidi"/>
          <w:vertAlign w:val="superscript"/>
        </w:rPr>
      </w:pPr>
      <w:r w:rsidRPr="00F41D5D">
        <w:rPr>
          <w:rFonts w:asciiTheme="majorBidi" w:hAnsiTheme="majorBidi" w:cstheme="majorBidi"/>
          <w:i/>
          <w:iCs/>
        </w:rPr>
        <w:t>Tolling</w:t>
      </w:r>
      <w:r w:rsidRPr="00F41D5D">
        <w:rPr>
          <w:rFonts w:asciiTheme="majorBidi" w:hAnsiTheme="majorBidi" w:cstheme="majorBidi"/>
        </w:rPr>
        <w:t xml:space="preserve">: </w:t>
      </w:r>
      <w:r w:rsidRPr="00F41D5D">
        <w:rPr>
          <w:rFonts w:asciiTheme="majorBidi" w:eastAsia="Times New Roman" w:hAnsiTheme="majorBidi" w:cstheme="majorBidi"/>
          <w:color w:val="000000" w:themeColor="text1"/>
        </w:rPr>
        <w:t>The SOL is tolled while an indictment is lost or destroyed, and a new indictment is issued.</w:t>
      </w:r>
      <w:r w:rsidRPr="00F41D5D">
        <w:rPr>
          <w:rStyle w:val="EndnoteReference"/>
          <w:rFonts w:asciiTheme="majorBidi" w:eastAsia="Times New Roman" w:hAnsiTheme="majorBidi" w:cstheme="majorBidi"/>
          <w:color w:val="000000" w:themeColor="text1"/>
        </w:rPr>
        <w:endnoteReference w:id="16"/>
      </w:r>
      <w:r w:rsidRPr="00F41D5D">
        <w:rPr>
          <w:rFonts w:asciiTheme="majorBidi" w:eastAsia="Times New Roman" w:hAnsiTheme="majorBidi" w:cstheme="majorBidi"/>
          <w:color w:val="000000" w:themeColor="text1"/>
        </w:rPr>
        <w:t xml:space="preserve"> A defendant’s misrepresentation may be a continuous offense, extending the limitations period.</w:t>
      </w:r>
      <w:r w:rsidRPr="00F41D5D">
        <w:rPr>
          <w:rStyle w:val="EndnoteReference"/>
          <w:rFonts w:asciiTheme="majorBidi" w:eastAsia="Times New Roman" w:hAnsiTheme="majorBidi" w:cstheme="majorBidi"/>
          <w:color w:val="000000" w:themeColor="text1"/>
        </w:rPr>
        <w:endnoteReference w:id="17"/>
      </w:r>
      <w:r w:rsidRPr="00F41D5D">
        <w:rPr>
          <w:rFonts w:asciiTheme="majorBidi" w:eastAsia="Times New Roman" w:hAnsiTheme="majorBidi" w:cstheme="majorBidi"/>
          <w:color w:val="000000" w:themeColor="text1"/>
        </w:rPr>
        <w:t xml:space="preserve"> Courts recognize that the issuance of a state-court arrest warrant will toll the SOL.</w:t>
      </w:r>
      <w:r w:rsidRPr="00F41D5D">
        <w:rPr>
          <w:rStyle w:val="EndnoteReference"/>
          <w:rFonts w:asciiTheme="majorBidi" w:eastAsia="Times New Roman" w:hAnsiTheme="majorBidi" w:cstheme="majorBidi"/>
        </w:rPr>
        <w:endnoteReference w:id="18"/>
      </w:r>
    </w:p>
    <w:p w14:paraId="010C32DD" w14:textId="77777777" w:rsidR="00E66DCE" w:rsidRPr="00F41D5D" w:rsidRDefault="00E66DCE" w:rsidP="00E66DCE">
      <w:pPr>
        <w:rPr>
          <w:rFonts w:asciiTheme="majorBidi" w:hAnsiTheme="majorBidi" w:cstheme="majorBidi"/>
        </w:rPr>
      </w:pPr>
    </w:p>
    <w:p w14:paraId="67D6CA95" w14:textId="6F4CF09E" w:rsidR="00E66DCE" w:rsidRPr="00F41D5D" w:rsidRDefault="00E66DCE" w:rsidP="003470F0">
      <w:pPr>
        <w:shd w:val="clear" w:color="auto" w:fill="0A2E63"/>
        <w:jc w:val="center"/>
        <w:rPr>
          <w:rFonts w:asciiTheme="majorBidi" w:hAnsiTheme="majorBidi" w:cstheme="majorBidi"/>
          <w:b/>
          <w:bCs/>
          <w:u w:val="single"/>
        </w:rPr>
      </w:pPr>
      <w:r w:rsidRPr="00F41D5D">
        <w:rPr>
          <w:rFonts w:asciiTheme="majorBidi" w:hAnsiTheme="majorBidi" w:cstheme="majorBidi"/>
          <w:b/>
          <w:bCs/>
          <w:color w:val="FFFFFF" w:themeColor="background1"/>
        </w:rPr>
        <w:t>Criminal SOL History</w:t>
      </w:r>
    </w:p>
    <w:tbl>
      <w:tblPr>
        <w:tblStyle w:val="TableGrid"/>
        <w:tblW w:w="936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0"/>
        <w:gridCol w:w="8520"/>
      </w:tblGrid>
      <w:tr w:rsidR="00E66DCE" w:rsidRPr="00F41D5D" w14:paraId="031CEFDC" w14:textId="77777777" w:rsidTr="00AC7AE3">
        <w:tc>
          <w:tcPr>
            <w:tcW w:w="9360" w:type="dxa"/>
            <w:gridSpan w:val="2"/>
          </w:tcPr>
          <w:p w14:paraId="3626A1E0" w14:textId="77777777" w:rsidR="00E66DCE" w:rsidRPr="00F41D5D" w:rsidRDefault="00E66DCE" w:rsidP="00AC7AE3">
            <w:pPr>
              <w:pStyle w:val="NormalWeb"/>
              <w:spacing w:before="0" w:beforeAutospacing="0" w:after="0" w:afterAutospacing="0"/>
              <w:textAlignment w:val="baseline"/>
              <w:rPr>
                <w:rFonts w:asciiTheme="majorBidi" w:hAnsiTheme="majorBidi" w:cstheme="majorBidi"/>
                <w:b/>
                <w:bCs/>
                <w:i/>
                <w:iCs/>
                <w:color w:val="333333"/>
                <w:bdr w:val="none" w:sz="0" w:space="0" w:color="auto" w:frame="1"/>
              </w:rPr>
            </w:pPr>
            <w:r w:rsidRPr="00F41D5D">
              <w:rPr>
                <w:rFonts w:asciiTheme="majorBidi" w:hAnsiTheme="majorBidi" w:cstheme="majorBidi"/>
                <w:b/>
                <w:bCs/>
                <w:i/>
                <w:iCs/>
                <w:color w:val="333333"/>
                <w:bdr w:val="none" w:sz="0" w:space="0" w:color="auto" w:frame="1"/>
              </w:rPr>
              <w:t>Age Cap</w:t>
            </w:r>
          </w:p>
        </w:tc>
      </w:tr>
      <w:tr w:rsidR="00E66DCE" w:rsidRPr="00F41D5D" w14:paraId="3E43F086" w14:textId="77777777" w:rsidTr="00AC7AE3">
        <w:tc>
          <w:tcPr>
            <w:tcW w:w="840" w:type="dxa"/>
          </w:tcPr>
          <w:p w14:paraId="082A8A77" w14:textId="77777777" w:rsidR="00E66DCE" w:rsidRPr="00F41D5D" w:rsidRDefault="00E66DCE" w:rsidP="00AC7AE3">
            <w:pPr>
              <w:pStyle w:val="NormalWeb"/>
              <w:spacing w:before="0" w:beforeAutospacing="0" w:after="0" w:afterAutospacing="0"/>
              <w:textAlignment w:val="baseline"/>
              <w:rPr>
                <w:rStyle w:val="Strong"/>
                <w:rFonts w:asciiTheme="majorBidi" w:hAnsiTheme="majorBidi" w:cstheme="majorBidi"/>
                <w:b w:val="0"/>
                <w:bCs w:val="0"/>
                <w:color w:val="333333"/>
                <w:bdr w:val="none" w:sz="0" w:space="0" w:color="auto" w:frame="1"/>
              </w:rPr>
            </w:pPr>
            <w:r w:rsidRPr="00F41D5D">
              <w:rPr>
                <w:rStyle w:val="Strong"/>
                <w:rFonts w:asciiTheme="majorBidi" w:hAnsiTheme="majorBidi" w:cstheme="majorBidi"/>
                <w:color w:val="333333"/>
                <w:bdr w:val="none" w:sz="0" w:space="0" w:color="auto" w:frame="1"/>
              </w:rPr>
              <w:t>1985</w:t>
            </w:r>
          </w:p>
        </w:tc>
        <w:tc>
          <w:tcPr>
            <w:tcW w:w="8520" w:type="dxa"/>
          </w:tcPr>
          <w:p w14:paraId="630EABE8" w14:textId="77777777" w:rsidR="00E66DCE" w:rsidRPr="00F41D5D" w:rsidRDefault="00E66DCE" w:rsidP="00AC7AE3">
            <w:pPr>
              <w:jc w:val="both"/>
              <w:textAlignment w:val="baseline"/>
              <w:rPr>
                <w:rFonts w:asciiTheme="majorBidi" w:eastAsia="Times New Roman" w:hAnsiTheme="majorBidi" w:cstheme="majorBidi"/>
              </w:rPr>
            </w:pPr>
            <w:r w:rsidRPr="00F41D5D">
              <w:rPr>
                <w:rFonts w:asciiTheme="majorBidi" w:eastAsia="Times New Roman" w:hAnsiTheme="majorBidi" w:cstheme="majorBidi"/>
              </w:rPr>
              <w:t xml:space="preserve">Eliminated the SOL for rape at any age and for any felony involving the use, attempted use, or threat of violence, for victims under the age of 16. </w:t>
            </w:r>
          </w:p>
          <w:p w14:paraId="44E5C85A" w14:textId="77777777" w:rsidR="00E66DCE" w:rsidRPr="00F41D5D" w:rsidRDefault="00E66DCE" w:rsidP="00AC7AE3">
            <w:pPr>
              <w:jc w:val="both"/>
              <w:textAlignment w:val="baseline"/>
              <w:rPr>
                <w:rFonts w:asciiTheme="majorBidi" w:eastAsia="Times New Roman" w:hAnsiTheme="majorBidi" w:cstheme="majorBidi"/>
                <w:bdr w:val="none" w:sz="0" w:space="0" w:color="auto" w:frame="1"/>
                <w:vertAlign w:val="superscript"/>
              </w:rPr>
            </w:pPr>
            <w:r w:rsidRPr="00F41D5D">
              <w:rPr>
                <w:rFonts w:asciiTheme="majorBidi" w:eastAsia="Times New Roman" w:hAnsiTheme="majorBidi" w:cstheme="majorBidi"/>
              </w:rPr>
              <w:t>Eliminated the SOL for many felony and misdemeanor sex offenses involving victims under age 16.</w:t>
            </w:r>
            <w:r w:rsidRPr="00F41D5D">
              <w:rPr>
                <w:rStyle w:val="EndnoteReference"/>
                <w:rFonts w:asciiTheme="majorBidi" w:eastAsia="Times New Roman" w:hAnsiTheme="majorBidi" w:cstheme="majorBidi"/>
              </w:rPr>
              <w:endnoteReference w:id="19"/>
            </w:r>
            <w:r w:rsidRPr="00F41D5D">
              <w:rPr>
                <w:rFonts w:asciiTheme="majorBidi" w:eastAsia="Times New Roman" w:hAnsiTheme="majorBidi" w:cstheme="majorBidi"/>
              </w:rPr>
              <w:t xml:space="preserve">  The SOL for remaining felonies was 5 years after the commission of the offense and the SOL for misdemeanors was 1 year.</w:t>
            </w:r>
            <w:r w:rsidRPr="00F41D5D">
              <w:rPr>
                <w:rStyle w:val="EndnoteReference"/>
                <w:rFonts w:asciiTheme="majorBidi" w:eastAsia="Times New Roman" w:hAnsiTheme="majorBidi" w:cstheme="majorBidi"/>
              </w:rPr>
              <w:endnoteReference w:id="20"/>
            </w:r>
          </w:p>
        </w:tc>
      </w:tr>
      <w:tr w:rsidR="00E66DCE" w:rsidRPr="00F41D5D" w14:paraId="7A88A65B" w14:textId="77777777" w:rsidTr="00AC7AE3">
        <w:tc>
          <w:tcPr>
            <w:tcW w:w="840" w:type="dxa"/>
          </w:tcPr>
          <w:p w14:paraId="4F6F17A0" w14:textId="77777777" w:rsidR="00E66DCE" w:rsidRPr="00F41D5D" w:rsidRDefault="00E66DCE" w:rsidP="00AC7AE3">
            <w:pPr>
              <w:pStyle w:val="NormalWeb"/>
              <w:spacing w:before="0" w:beforeAutospacing="0" w:after="0" w:afterAutospacing="0"/>
              <w:textAlignment w:val="baseline"/>
              <w:rPr>
                <w:rFonts w:asciiTheme="majorBidi" w:hAnsiTheme="majorBidi" w:cstheme="majorBidi"/>
                <w:b/>
                <w:bCs/>
              </w:rPr>
            </w:pPr>
            <w:r w:rsidRPr="00F41D5D">
              <w:rPr>
                <w:rFonts w:asciiTheme="majorBidi" w:hAnsiTheme="majorBidi" w:cstheme="majorBidi"/>
                <w:b/>
                <w:bCs/>
              </w:rPr>
              <w:t>2010</w:t>
            </w:r>
          </w:p>
        </w:tc>
        <w:tc>
          <w:tcPr>
            <w:tcW w:w="8520" w:type="dxa"/>
          </w:tcPr>
          <w:p w14:paraId="73EA31E2" w14:textId="77777777" w:rsidR="00E66DCE" w:rsidRPr="00F41D5D" w:rsidRDefault="00E66DCE" w:rsidP="00AC7AE3">
            <w:pPr>
              <w:pStyle w:val="NormalWeb"/>
              <w:spacing w:before="0" w:beforeAutospacing="0" w:after="0" w:afterAutospacing="0"/>
              <w:jc w:val="both"/>
              <w:textAlignment w:val="baseline"/>
              <w:rPr>
                <w:rFonts w:asciiTheme="majorBidi" w:hAnsiTheme="majorBidi" w:cstheme="majorBidi"/>
              </w:rPr>
            </w:pPr>
            <w:r w:rsidRPr="00F41D5D">
              <w:rPr>
                <w:rFonts w:asciiTheme="majorBidi" w:hAnsiTheme="majorBidi" w:cstheme="majorBidi"/>
              </w:rPr>
              <w:t>Enacted its first human trafficking statute which set the SOL for prosecution of sex trafficking crimes at age 23 (age 18, plus 5 years) or 5 years from reasonable discovery.</w:t>
            </w:r>
            <w:r w:rsidRPr="00F41D5D">
              <w:rPr>
                <w:rStyle w:val="EndnoteReference"/>
                <w:rFonts w:asciiTheme="majorBidi" w:eastAsiaTheme="majorEastAsia" w:hAnsiTheme="majorBidi" w:cstheme="majorBidi"/>
              </w:rPr>
              <w:endnoteReference w:id="21"/>
            </w:r>
          </w:p>
        </w:tc>
      </w:tr>
      <w:tr w:rsidR="00E66DCE" w:rsidRPr="00F41D5D" w14:paraId="6E942080" w14:textId="77777777" w:rsidTr="00AC7AE3">
        <w:tc>
          <w:tcPr>
            <w:tcW w:w="840" w:type="dxa"/>
          </w:tcPr>
          <w:p w14:paraId="6762E99E" w14:textId="77777777" w:rsidR="00E66DCE" w:rsidRPr="00F41D5D" w:rsidRDefault="00E66DCE" w:rsidP="00AC7AE3">
            <w:pPr>
              <w:pStyle w:val="NormalWeb"/>
              <w:spacing w:before="0" w:beforeAutospacing="0" w:after="0" w:afterAutospacing="0"/>
              <w:textAlignment w:val="baseline"/>
              <w:rPr>
                <w:rFonts w:asciiTheme="majorBidi" w:hAnsiTheme="majorBidi" w:cstheme="majorBidi"/>
                <w:b/>
                <w:bCs/>
                <w:bdr w:val="none" w:sz="0" w:space="0" w:color="auto" w:frame="1"/>
              </w:rPr>
            </w:pPr>
            <w:r w:rsidRPr="00F41D5D">
              <w:rPr>
                <w:rFonts w:asciiTheme="majorBidi" w:hAnsiTheme="majorBidi" w:cstheme="majorBidi"/>
                <w:b/>
                <w:bCs/>
              </w:rPr>
              <w:t>2011</w:t>
            </w:r>
          </w:p>
        </w:tc>
        <w:tc>
          <w:tcPr>
            <w:tcW w:w="8520" w:type="dxa"/>
          </w:tcPr>
          <w:p w14:paraId="58A93647" w14:textId="77777777" w:rsidR="00E66DCE" w:rsidRPr="00F41D5D" w:rsidRDefault="00E66DCE" w:rsidP="00AC7AE3">
            <w:pPr>
              <w:pStyle w:val="NormalWeb"/>
              <w:spacing w:before="0" w:beforeAutospacing="0" w:after="0" w:afterAutospacing="0"/>
              <w:jc w:val="both"/>
              <w:textAlignment w:val="baseline"/>
              <w:rPr>
                <w:rFonts w:asciiTheme="majorBidi" w:hAnsiTheme="majorBidi" w:cstheme="majorBidi"/>
                <w:bdr w:val="none" w:sz="0" w:space="0" w:color="auto" w:frame="1"/>
              </w:rPr>
            </w:pPr>
            <w:r w:rsidRPr="00F41D5D">
              <w:rPr>
                <w:rFonts w:asciiTheme="majorBidi" w:hAnsiTheme="majorBidi" w:cstheme="majorBidi"/>
              </w:rPr>
              <w:t>Eliminated the SOL when victims are under age 16 for rape, sodomy, sexual misconduct, sexual torture, sexual abuse of a child, sexual abuse, indecent exposure enticing, prostitution, incest, pornography, and human trafficking.</w:t>
            </w:r>
            <w:r w:rsidRPr="00F41D5D">
              <w:rPr>
                <w:rStyle w:val="EndnoteReference"/>
                <w:rFonts w:asciiTheme="majorBidi" w:eastAsiaTheme="majorEastAsia" w:hAnsiTheme="majorBidi" w:cstheme="majorBidi"/>
              </w:rPr>
              <w:endnoteReference w:id="22"/>
            </w:r>
          </w:p>
        </w:tc>
      </w:tr>
      <w:tr w:rsidR="00E66DCE" w:rsidRPr="00F41D5D" w14:paraId="699192D0" w14:textId="77777777" w:rsidTr="00AC7AE3">
        <w:tc>
          <w:tcPr>
            <w:tcW w:w="840" w:type="dxa"/>
          </w:tcPr>
          <w:p w14:paraId="43AFBF1E" w14:textId="77777777" w:rsidR="00E66DCE" w:rsidRPr="00F41D5D" w:rsidRDefault="00E66DCE" w:rsidP="00AC7AE3">
            <w:pPr>
              <w:pStyle w:val="NormalWeb"/>
              <w:spacing w:before="0" w:beforeAutospacing="0" w:after="0" w:afterAutospacing="0"/>
              <w:textAlignment w:val="baseline"/>
              <w:rPr>
                <w:rStyle w:val="Strong"/>
                <w:rFonts w:asciiTheme="majorBidi" w:hAnsiTheme="majorBidi" w:cstheme="majorBidi"/>
                <w:b w:val="0"/>
                <w:color w:val="333333"/>
                <w:bdr w:val="none" w:sz="0" w:space="0" w:color="auto" w:frame="1"/>
              </w:rPr>
            </w:pPr>
            <w:r w:rsidRPr="00F41D5D">
              <w:rPr>
                <w:rFonts w:asciiTheme="majorBidi" w:hAnsiTheme="majorBidi" w:cstheme="majorBidi"/>
                <w:b/>
                <w:bCs/>
              </w:rPr>
              <w:lastRenderedPageBreak/>
              <w:t>2016</w:t>
            </w:r>
          </w:p>
        </w:tc>
        <w:tc>
          <w:tcPr>
            <w:tcW w:w="8520" w:type="dxa"/>
          </w:tcPr>
          <w:p w14:paraId="4843BC09" w14:textId="77777777" w:rsidR="00E66DCE" w:rsidRPr="00F41D5D" w:rsidRDefault="00E66DCE" w:rsidP="00AC7AE3">
            <w:pPr>
              <w:pStyle w:val="NormalWeb"/>
              <w:spacing w:before="0" w:beforeAutospacing="0" w:after="0" w:afterAutospacing="0"/>
              <w:jc w:val="both"/>
              <w:textAlignment w:val="baseline"/>
              <w:rPr>
                <w:rFonts w:asciiTheme="majorBidi" w:hAnsiTheme="majorBidi" w:cstheme="majorBidi"/>
                <w:bdr w:val="none" w:sz="0" w:space="0" w:color="auto" w:frame="1"/>
              </w:rPr>
            </w:pPr>
            <w:r w:rsidRPr="00F41D5D">
              <w:rPr>
                <w:rFonts w:asciiTheme="majorBidi" w:hAnsiTheme="majorBidi" w:cstheme="majorBidi"/>
              </w:rPr>
              <w:t>Eliminated the SOL when victims are under age 16 for foster parent engaging in sex act.</w:t>
            </w:r>
            <w:r w:rsidRPr="00F41D5D">
              <w:rPr>
                <w:rStyle w:val="EndnoteReference"/>
                <w:rFonts w:asciiTheme="majorBidi" w:eastAsiaTheme="majorEastAsia" w:hAnsiTheme="majorBidi" w:cstheme="majorBidi"/>
              </w:rPr>
              <w:endnoteReference w:id="23"/>
            </w:r>
            <w:r w:rsidRPr="00F41D5D">
              <w:rPr>
                <w:rFonts w:asciiTheme="majorBidi" w:hAnsiTheme="majorBidi" w:cstheme="majorBidi"/>
              </w:rPr>
              <w:t xml:space="preserve"> </w:t>
            </w:r>
          </w:p>
        </w:tc>
      </w:tr>
      <w:tr w:rsidR="00E66DCE" w:rsidRPr="00F41D5D" w14:paraId="08CCFC7A" w14:textId="77777777" w:rsidTr="00AC7AE3">
        <w:tc>
          <w:tcPr>
            <w:tcW w:w="840" w:type="dxa"/>
          </w:tcPr>
          <w:p w14:paraId="10BA24D6" w14:textId="77777777" w:rsidR="00E66DCE" w:rsidRPr="00F41D5D" w:rsidRDefault="00E66DCE" w:rsidP="00AC7AE3">
            <w:pPr>
              <w:pStyle w:val="NormalWeb"/>
              <w:spacing w:before="0" w:beforeAutospacing="0" w:after="0" w:afterAutospacing="0" w:line="259" w:lineRule="auto"/>
              <w:rPr>
                <w:rFonts w:asciiTheme="majorBidi" w:hAnsiTheme="majorBidi" w:cstheme="majorBidi"/>
                <w:b/>
                <w:bCs/>
              </w:rPr>
            </w:pPr>
            <w:r w:rsidRPr="00F41D5D">
              <w:rPr>
                <w:rFonts w:asciiTheme="majorBidi" w:hAnsiTheme="majorBidi" w:cstheme="majorBidi"/>
                <w:b/>
                <w:bCs/>
              </w:rPr>
              <w:t>2017</w:t>
            </w:r>
          </w:p>
        </w:tc>
        <w:tc>
          <w:tcPr>
            <w:tcW w:w="8520" w:type="dxa"/>
          </w:tcPr>
          <w:p w14:paraId="5023CF1A" w14:textId="77777777" w:rsidR="00E66DCE" w:rsidRPr="00F41D5D" w:rsidRDefault="00E66DCE" w:rsidP="00AC7AE3">
            <w:pPr>
              <w:pStyle w:val="NormalWeb"/>
              <w:spacing w:before="0" w:beforeAutospacing="0" w:after="0" w:afterAutospacing="0"/>
              <w:jc w:val="both"/>
              <w:textAlignment w:val="baseline"/>
              <w:rPr>
                <w:rFonts w:asciiTheme="majorBidi" w:hAnsiTheme="majorBidi" w:cstheme="majorBidi"/>
                <w:bdr w:val="none" w:sz="0" w:space="0" w:color="auto" w:frame="1"/>
              </w:rPr>
            </w:pPr>
            <w:r w:rsidRPr="00F41D5D">
              <w:rPr>
                <w:rFonts w:asciiTheme="majorBidi" w:hAnsiTheme="majorBidi" w:cstheme="majorBidi"/>
              </w:rPr>
              <w:t>Eliminated the SOL when victims are under age 16 for sexual extortion, directing a child to engage in a sex act.</w:t>
            </w:r>
            <w:r w:rsidRPr="00F41D5D">
              <w:rPr>
                <w:rStyle w:val="EndnoteReference"/>
                <w:rFonts w:asciiTheme="majorBidi" w:eastAsiaTheme="majorEastAsia" w:hAnsiTheme="majorBidi" w:cstheme="majorBidi"/>
              </w:rPr>
              <w:endnoteReference w:id="24"/>
            </w:r>
          </w:p>
        </w:tc>
      </w:tr>
      <w:tr w:rsidR="00E66DCE" w:rsidRPr="00F41D5D" w14:paraId="7E2C9A99" w14:textId="77777777" w:rsidTr="00AC7AE3">
        <w:tc>
          <w:tcPr>
            <w:tcW w:w="840" w:type="dxa"/>
          </w:tcPr>
          <w:p w14:paraId="3AFE9A9B" w14:textId="77777777" w:rsidR="00E66DCE" w:rsidRPr="00F41D5D" w:rsidRDefault="00E66DCE" w:rsidP="00AC7AE3">
            <w:pPr>
              <w:pStyle w:val="NormalWeb"/>
              <w:spacing w:line="259" w:lineRule="auto"/>
              <w:rPr>
                <w:rFonts w:asciiTheme="majorBidi" w:hAnsiTheme="majorBidi" w:cstheme="majorBidi"/>
                <w:b/>
                <w:bCs/>
              </w:rPr>
            </w:pPr>
            <w:r w:rsidRPr="00F41D5D">
              <w:rPr>
                <w:rFonts w:asciiTheme="majorBidi" w:hAnsiTheme="majorBidi" w:cstheme="majorBidi"/>
                <w:b/>
                <w:bCs/>
              </w:rPr>
              <w:t>2018</w:t>
            </w:r>
          </w:p>
        </w:tc>
        <w:tc>
          <w:tcPr>
            <w:tcW w:w="8520" w:type="dxa"/>
          </w:tcPr>
          <w:p w14:paraId="547DEE52" w14:textId="77777777" w:rsidR="00E66DCE" w:rsidRPr="00F41D5D" w:rsidRDefault="00E66DCE" w:rsidP="00AC7AE3">
            <w:pPr>
              <w:pStyle w:val="NormalWeb"/>
              <w:jc w:val="both"/>
              <w:rPr>
                <w:rFonts w:asciiTheme="majorBidi" w:hAnsiTheme="majorBidi" w:cstheme="majorBidi"/>
              </w:rPr>
            </w:pPr>
            <w:r w:rsidRPr="00F41D5D">
              <w:rPr>
                <w:rFonts w:asciiTheme="majorBidi" w:hAnsiTheme="majorBidi" w:cstheme="majorBidi"/>
              </w:rPr>
              <w:t>Extended the SOL for sex trafficking to age 24 (age 19, plus 5 years) or 5 years from reasonable discovery.</w:t>
            </w:r>
            <w:r w:rsidRPr="00F41D5D">
              <w:rPr>
                <w:rStyle w:val="EndnoteReference"/>
                <w:rFonts w:asciiTheme="majorBidi" w:eastAsiaTheme="majorEastAsia" w:hAnsiTheme="majorBidi" w:cstheme="majorBidi"/>
              </w:rPr>
              <w:endnoteReference w:id="25"/>
            </w:r>
          </w:p>
        </w:tc>
      </w:tr>
    </w:tbl>
    <w:p w14:paraId="0A2E275D" w14:textId="77777777" w:rsidR="006E1626" w:rsidRPr="00F41D5D" w:rsidRDefault="006E1626" w:rsidP="003A1AB4">
      <w:pPr>
        <w:pStyle w:val="Heading2"/>
        <w:jc w:val="center"/>
        <w:rPr>
          <w:rFonts w:asciiTheme="majorBidi" w:hAnsiTheme="majorBidi"/>
        </w:rPr>
      </w:pPr>
    </w:p>
    <w:sectPr w:rsidR="006E1626" w:rsidRPr="00F41D5D" w:rsidSect="00E03152">
      <w:headerReference w:type="default" r:id="rId8"/>
      <w:footerReference w:type="default" r:id="rId9"/>
      <w:endnotePr>
        <w:numFmt w:val="decimal"/>
      </w:endnotePr>
      <w:pgSz w:w="12240" w:h="15840"/>
      <w:pgMar w:top="720" w:right="720" w:bottom="720" w:left="72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46619" w14:textId="77777777" w:rsidR="0011317C" w:rsidRDefault="0011317C" w:rsidP="00E66DCE">
      <w:r>
        <w:separator/>
      </w:r>
    </w:p>
  </w:endnote>
  <w:endnote w:type="continuationSeparator" w:id="0">
    <w:p w14:paraId="26A31BEE" w14:textId="77777777" w:rsidR="0011317C" w:rsidRDefault="0011317C" w:rsidP="00E66DCE">
      <w:r>
        <w:continuationSeparator/>
      </w:r>
    </w:p>
  </w:endnote>
  <w:endnote w:id="1">
    <w:p w14:paraId="566AD9F9"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smallCaps/>
        </w:rPr>
        <w:t>Ala. Const</w:t>
      </w:r>
      <w:r w:rsidRPr="003470F0">
        <w:rPr>
          <w:rFonts w:ascii="Times New Roman" w:hAnsi="Times New Roman" w:cs="Times New Roman"/>
        </w:rPr>
        <w:t xml:space="preserve">. art. I, § 14.  </w:t>
      </w:r>
      <w:r w:rsidRPr="003470F0">
        <w:rPr>
          <w:rFonts w:ascii="Times New Roman" w:hAnsi="Times New Roman" w:cs="Times New Roman"/>
          <w:i/>
          <w:iCs/>
        </w:rPr>
        <w:t>See also Hurt v. Shelby County Bd. of Educ.</w:t>
      </w:r>
      <w:r w:rsidRPr="003470F0">
        <w:rPr>
          <w:rFonts w:ascii="Times New Roman" w:hAnsi="Times New Roman" w:cs="Times New Roman"/>
        </w:rPr>
        <w:t xml:space="preserve">, 198 F.Supp.3d 1293 (N.D. Ala. 2016) (finding CSA claims against school board “are barred by the Alabama constitution.”). Regardless, the state is not liable for punitive damages and has not instituted any notice of claim requirement. </w:t>
      </w:r>
      <w:r w:rsidRPr="003470F0">
        <w:rPr>
          <w:rFonts w:ascii="Times New Roman" w:hAnsi="Times New Roman" w:cs="Times New Roman"/>
          <w:smallCaps/>
        </w:rPr>
        <w:t>Ala. Code</w:t>
      </w:r>
      <w:r w:rsidRPr="003470F0">
        <w:rPr>
          <w:rFonts w:ascii="Times New Roman" w:hAnsi="Times New Roman" w:cs="Times New Roman"/>
        </w:rPr>
        <w:t xml:space="preserve"> § 6-11-26.</w:t>
      </w:r>
    </w:p>
  </w:endnote>
  <w:endnote w:id="2">
    <w:p w14:paraId="5C3909A2"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i/>
          <w:iCs/>
        </w:rPr>
        <w:t>See, e.g.</w:t>
      </w:r>
      <w:r w:rsidRPr="003470F0">
        <w:rPr>
          <w:rFonts w:ascii="Times New Roman" w:hAnsi="Times New Roman" w:cs="Times New Roman"/>
        </w:rPr>
        <w:t>,</w:t>
      </w:r>
      <w:r w:rsidRPr="003470F0">
        <w:rPr>
          <w:rFonts w:ascii="Times New Roman" w:hAnsi="Times New Roman" w:cs="Times New Roman"/>
          <w:i/>
          <w:iCs/>
        </w:rPr>
        <w:t xml:space="preserve"> Supreme Lodge of World, Loyal Order of Moose, v. Kenny</w:t>
      </w:r>
      <w:r w:rsidRPr="003470F0">
        <w:rPr>
          <w:rFonts w:ascii="Times New Roman" w:hAnsi="Times New Roman" w:cs="Times New Roman"/>
        </w:rPr>
        <w:t>, 73 So. 519 (Ala. 1916) (holding that the fact that the supreme lodge of a fraternal order had established a home for the orphans and widows of its members and maintained by its members did not relieve it from liability for the death of a candidate while being initiated into a local lodge, as the candidate was neither seeking nor receiving charity);</w:t>
      </w:r>
      <w:r w:rsidRPr="003470F0">
        <w:rPr>
          <w:rFonts w:ascii="Times New Roman" w:hAnsi="Times New Roman" w:cs="Times New Roman"/>
          <w:i/>
          <w:iCs/>
        </w:rPr>
        <w:t xml:space="preserve"> Tucker v. Mobile Infirmary Ass’n,</w:t>
      </w:r>
      <w:r w:rsidRPr="003470F0">
        <w:rPr>
          <w:rFonts w:ascii="Times New Roman" w:hAnsi="Times New Roman" w:cs="Times New Roman"/>
        </w:rPr>
        <w:t xml:space="preserve"> 68 So. 4 (Ala. 1915) (determining that a charitable corporation receiving a patient for compensation is liable for an injury to the patient caused by the negligence of a nurse).</w:t>
      </w:r>
    </w:p>
  </w:endnote>
  <w:endnote w:id="3">
    <w:p w14:paraId="13338670"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i/>
          <w:iCs/>
        </w:rPr>
        <w:t>Alabama Baptist Hosp. Bd. v. Carter</w:t>
      </w:r>
      <w:r w:rsidRPr="003470F0">
        <w:rPr>
          <w:rFonts w:ascii="Times New Roman" w:hAnsi="Times New Roman" w:cs="Times New Roman"/>
        </w:rPr>
        <w:t>, 145 So. 443 (Ala. 1932)</w:t>
      </w:r>
      <w:r w:rsidRPr="003470F0">
        <w:rPr>
          <w:rFonts w:ascii="Times New Roman" w:hAnsi="Times New Roman" w:cs="Times New Roman"/>
          <w:i/>
          <w:iCs/>
        </w:rPr>
        <w:t xml:space="preserve"> </w:t>
      </w:r>
      <w:r w:rsidRPr="003470F0">
        <w:rPr>
          <w:rFonts w:ascii="Times New Roman" w:hAnsi="Times New Roman" w:cs="Times New Roman"/>
        </w:rPr>
        <w:t xml:space="preserve">(noting, “[t]he doctrine of waiver by acceptance of benefits is applicable only, if at all, to patients receiving benefits. As to third persons, the rule of responsibility for the negligence of servants or agents is applied in negligence actions against nonprofit hospitals, as in cases of ordinary business corporations.”).  </w:t>
      </w:r>
      <w:r w:rsidRPr="003470F0">
        <w:rPr>
          <w:rFonts w:ascii="Times New Roman" w:hAnsi="Times New Roman" w:cs="Times New Roman"/>
          <w:i/>
          <w:iCs/>
        </w:rPr>
        <w:t>See also</w:t>
      </w:r>
      <w:r w:rsidRPr="003470F0">
        <w:rPr>
          <w:rFonts w:ascii="Times New Roman" w:hAnsi="Times New Roman" w:cs="Times New Roman"/>
        </w:rPr>
        <w:t xml:space="preserve"> </w:t>
      </w:r>
      <w:r w:rsidRPr="003470F0">
        <w:rPr>
          <w:rFonts w:ascii="Times New Roman" w:hAnsi="Times New Roman" w:cs="Times New Roman"/>
          <w:i/>
          <w:iCs/>
        </w:rPr>
        <w:t>Laney v. Jefferson Cty.</w:t>
      </w:r>
      <w:r w:rsidRPr="003470F0">
        <w:rPr>
          <w:rFonts w:ascii="Times New Roman" w:hAnsi="Times New Roman" w:cs="Times New Roman"/>
        </w:rPr>
        <w:t>, 32 So.2d 542 (Ala. 1947).</w:t>
      </w:r>
    </w:p>
  </w:endnote>
  <w:endnote w:id="4">
    <w:p w14:paraId="3AB93075" w14:textId="77777777" w:rsidR="00E66DCE" w:rsidRPr="003470F0" w:rsidRDefault="00E66DCE" w:rsidP="00E66DCE">
      <w:pPr>
        <w:jc w:val="both"/>
        <w:rPr>
          <w:rFonts w:ascii="Times New Roman" w:hAnsi="Times New Roman" w:cs="Times New Roman"/>
          <w:sz w:val="20"/>
          <w:szCs w:val="20"/>
        </w:rPr>
      </w:pPr>
      <w:r w:rsidRPr="003470F0">
        <w:rPr>
          <w:rStyle w:val="EndnoteReference"/>
          <w:rFonts w:ascii="Times New Roman" w:eastAsia="Times New Roman" w:hAnsi="Times New Roman" w:cs="Times New Roman"/>
          <w:sz w:val="20"/>
          <w:szCs w:val="20"/>
        </w:rPr>
        <w:endnoteRef/>
      </w:r>
      <w:r w:rsidRPr="003470F0">
        <w:rPr>
          <w:rFonts w:ascii="Times New Roman" w:eastAsia="Times New Roman" w:hAnsi="Times New Roman" w:cs="Times New Roman"/>
          <w:sz w:val="20"/>
          <w:szCs w:val="20"/>
        </w:rPr>
        <w:t xml:space="preserve"> A</w:t>
      </w:r>
      <w:r w:rsidRPr="003470F0">
        <w:rPr>
          <w:rFonts w:ascii="Times New Roman" w:eastAsia="Times New Roman" w:hAnsi="Times New Roman" w:cs="Times New Roman"/>
          <w:smallCaps/>
          <w:sz w:val="20"/>
          <w:szCs w:val="20"/>
        </w:rPr>
        <w:t>la. Code</w:t>
      </w:r>
      <w:r w:rsidRPr="003470F0">
        <w:rPr>
          <w:rFonts w:ascii="Times New Roman" w:eastAsia="Times New Roman" w:hAnsi="Times New Roman" w:cs="Times New Roman"/>
          <w:sz w:val="20"/>
          <w:szCs w:val="20"/>
        </w:rPr>
        <w:t xml:space="preserve"> § 6-2-3 (fraud SOL). </w:t>
      </w:r>
      <w:r w:rsidRPr="003470F0">
        <w:rPr>
          <w:rFonts w:ascii="Times New Roman" w:eastAsia="Times New Roman" w:hAnsi="Times New Roman" w:cs="Times New Roman"/>
          <w:i/>
          <w:iCs/>
          <w:sz w:val="20"/>
          <w:szCs w:val="20"/>
        </w:rPr>
        <w:t>See</w:t>
      </w:r>
      <w:r w:rsidRPr="003470F0">
        <w:rPr>
          <w:rFonts w:ascii="Times New Roman" w:eastAsia="Times New Roman" w:hAnsi="Times New Roman" w:cs="Times New Roman"/>
          <w:sz w:val="20"/>
          <w:szCs w:val="20"/>
        </w:rPr>
        <w:t xml:space="preserve"> </w:t>
      </w:r>
      <w:r w:rsidRPr="003470F0">
        <w:rPr>
          <w:rFonts w:ascii="Times New Roman" w:eastAsia="Times New Roman" w:hAnsi="Times New Roman" w:cs="Times New Roman"/>
          <w:i/>
          <w:iCs/>
          <w:sz w:val="20"/>
          <w:szCs w:val="20"/>
        </w:rPr>
        <w:t>Campbell v. Consumer Warehouse Foods</w:t>
      </w:r>
      <w:r w:rsidRPr="003470F0">
        <w:rPr>
          <w:rFonts w:ascii="Times New Roman" w:eastAsia="Times New Roman" w:hAnsi="Times New Roman" w:cs="Times New Roman"/>
          <w:sz w:val="20"/>
          <w:szCs w:val="20"/>
        </w:rPr>
        <w:t xml:space="preserve">, 570 So.2d 630 (Ala.1990) (recognizing that a defendant’s affirmative inducement to delay the action upon which a plaintiff reasonably relies is sufficient to estop the defendant from pleading the SOL defense under a theory of equitable estoppel).  </w:t>
      </w:r>
      <w:r w:rsidRPr="003470F0">
        <w:rPr>
          <w:rFonts w:ascii="Times New Roman" w:eastAsia="Times New Roman" w:hAnsi="Times New Roman" w:cs="Times New Roman"/>
          <w:i/>
          <w:iCs/>
          <w:sz w:val="20"/>
          <w:szCs w:val="20"/>
        </w:rPr>
        <w:t>See also</w:t>
      </w:r>
      <w:r w:rsidRPr="003470F0">
        <w:rPr>
          <w:rFonts w:ascii="Times New Roman" w:eastAsia="Times New Roman" w:hAnsi="Times New Roman" w:cs="Times New Roman"/>
          <w:sz w:val="20"/>
          <w:szCs w:val="20"/>
        </w:rPr>
        <w:t xml:space="preserve"> </w:t>
      </w:r>
      <w:r w:rsidRPr="003470F0">
        <w:rPr>
          <w:rFonts w:ascii="Times New Roman" w:eastAsia="Times New Roman" w:hAnsi="Times New Roman" w:cs="Times New Roman"/>
          <w:i/>
          <w:iCs/>
          <w:sz w:val="20"/>
          <w:szCs w:val="20"/>
        </w:rPr>
        <w:t>Holloway v. Am. Media, Inc.</w:t>
      </w:r>
      <w:r w:rsidRPr="003470F0">
        <w:rPr>
          <w:rFonts w:ascii="Times New Roman" w:eastAsia="Times New Roman" w:hAnsi="Times New Roman" w:cs="Times New Roman"/>
          <w:sz w:val="20"/>
          <w:szCs w:val="20"/>
        </w:rPr>
        <w:t xml:space="preserve">, 947 F. Supp. 2d 1252, 1270 (N.D. Ala. 2013) (finding, “[i]n Alabama, a SOL can be tolled either under equitable circumstances that prevent the plaintiff from timely commencing his action or because of fraud by the defendant that conceals the existence of the plaintiff's claim”); </w:t>
      </w:r>
      <w:r w:rsidRPr="003470F0">
        <w:rPr>
          <w:rFonts w:ascii="Times New Roman" w:eastAsia="Times New Roman" w:hAnsi="Times New Roman" w:cs="Times New Roman"/>
          <w:i/>
          <w:iCs/>
          <w:sz w:val="20"/>
          <w:szCs w:val="20"/>
        </w:rPr>
        <w:t>DGB, LLC v. Hinds</w:t>
      </w:r>
      <w:r w:rsidRPr="003470F0">
        <w:rPr>
          <w:rFonts w:ascii="Times New Roman" w:eastAsia="Times New Roman" w:hAnsi="Times New Roman" w:cs="Times New Roman"/>
          <w:sz w:val="20"/>
          <w:szCs w:val="20"/>
        </w:rPr>
        <w:t>, 55 So. 3d 218, 226 (Ala. 2010) (concluding that, in general, a plaintiff alleging fraudulent concealment must show “the time and circumstances of the discovery of the cause of action” and present facts showing “defendants concealed the cause of action or injury and what prevented the plaintiff from discovering the facts surrounding the injury.”).</w:t>
      </w:r>
    </w:p>
  </w:endnote>
  <w:endnote w:id="5">
    <w:p w14:paraId="6D84D410"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i/>
          <w:iCs/>
        </w:rPr>
        <w:t>Beasley v. Alabama State Univ.,</w:t>
      </w:r>
      <w:r w:rsidRPr="003470F0">
        <w:rPr>
          <w:rFonts w:ascii="Times New Roman" w:hAnsi="Times New Roman" w:cs="Times New Roman"/>
        </w:rPr>
        <w:t xml:space="preserve"> 966 F. Supp. 1117 (M.D. Ala. 1997) (holding the continuous violation doctrine applied female student athlete's claims against university under Title IX, and thus were not barred by Alabama two-year SOLs, though action was brought over four years after her rights were first violated).</w:t>
      </w:r>
    </w:p>
  </w:endnote>
  <w:endnote w:id="6">
    <w:p w14:paraId="1BC868AB"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smallCaps/>
        </w:rPr>
        <w:t>Ala. Code</w:t>
      </w:r>
      <w:r w:rsidRPr="003470F0">
        <w:rPr>
          <w:rFonts w:ascii="Times New Roman" w:hAnsi="Times New Roman" w:cs="Times New Roman"/>
        </w:rPr>
        <w:t xml:space="preserve"> §§ 6-2-38(l) (two years), 6-2-34(1) (six years), 6-2-8 (majority tolling).  While a plain reading of Alabama’s majority tolling provision, § 6-2-8, supports that the personal injury SOL was tolled until age 21 (age 19, plus 2 years), caselaw has interpreted the statute as tolling the SOL until age 22 (age 19, plus 3 years).  </w:t>
      </w:r>
      <w:r w:rsidRPr="003470F0">
        <w:rPr>
          <w:rFonts w:ascii="Times New Roman" w:hAnsi="Times New Roman" w:cs="Times New Roman"/>
          <w:i/>
          <w:iCs/>
        </w:rPr>
        <w:t>See Love v. Wyeth</w:t>
      </w:r>
      <w:r w:rsidRPr="003470F0">
        <w:rPr>
          <w:rFonts w:ascii="Times New Roman" w:hAnsi="Times New Roman" w:cs="Times New Roman"/>
        </w:rPr>
        <w:t xml:space="preserve">, 569 F. Supp. 2d 1228, 1232 (N.D. Ala. 2008) (quoting </w:t>
      </w:r>
      <w:r w:rsidRPr="003470F0">
        <w:rPr>
          <w:rFonts w:ascii="Times New Roman" w:hAnsi="Times New Roman" w:cs="Times New Roman"/>
          <w:i/>
          <w:iCs/>
        </w:rPr>
        <w:t>Black v. Pratt Coal &amp; Coke Co</w:t>
      </w:r>
      <w:r w:rsidRPr="003470F0">
        <w:rPr>
          <w:rFonts w:ascii="Times New Roman" w:hAnsi="Times New Roman" w:cs="Times New Roman"/>
        </w:rPr>
        <w:t xml:space="preserve">., 5 So. 89, 91 (Ala. 1888)); </w:t>
      </w:r>
      <w:r w:rsidRPr="003470F0">
        <w:rPr>
          <w:rFonts w:ascii="Times New Roman" w:hAnsi="Times New Roman" w:cs="Times New Roman"/>
          <w:i/>
          <w:iCs/>
        </w:rPr>
        <w:t>Ex parte Trawick</w:t>
      </w:r>
      <w:r w:rsidRPr="003470F0">
        <w:rPr>
          <w:rFonts w:ascii="Times New Roman" w:hAnsi="Times New Roman" w:cs="Times New Roman"/>
        </w:rPr>
        <w:t xml:space="preserve">, 959 So. 2d 51, 63 (Ala. 2006) (noting that “because J.V. and R.V. were minors, § 6–2–8, </w:t>
      </w:r>
      <w:r w:rsidRPr="003470F0">
        <w:rPr>
          <w:rFonts w:ascii="Times New Roman" w:hAnsi="Times New Roman" w:cs="Times New Roman"/>
          <w:smallCaps/>
        </w:rPr>
        <w:t>Ala. Code</w:t>
      </w:r>
      <w:r w:rsidRPr="003470F0">
        <w:rPr>
          <w:rFonts w:ascii="Times New Roman" w:hAnsi="Times New Roman" w:cs="Times New Roman"/>
        </w:rPr>
        <w:t xml:space="preserve"> 1975, suspends the SOLs, allowing them a period of three years after reaching the age of majority to file a civil case.”).</w:t>
      </w:r>
    </w:p>
  </w:endnote>
  <w:endnote w:id="7">
    <w:p w14:paraId="72642F86"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i/>
          <w:iCs/>
        </w:rPr>
        <w:t xml:space="preserve">See </w:t>
      </w:r>
      <w:r w:rsidRPr="003470F0">
        <w:rPr>
          <w:rFonts w:ascii="Times New Roman" w:hAnsi="Times New Roman" w:cs="Times New Roman"/>
          <w:smallCaps/>
        </w:rPr>
        <w:t>Ala. Code</w:t>
      </w:r>
      <w:r w:rsidRPr="003470F0">
        <w:rPr>
          <w:rFonts w:ascii="Times New Roman" w:hAnsi="Times New Roman" w:cs="Times New Roman"/>
        </w:rPr>
        <w:t xml:space="preserve"> § 6–2–8 (1975);</w:t>
      </w:r>
      <w:r w:rsidRPr="003470F0">
        <w:rPr>
          <w:rFonts w:ascii="Times New Roman" w:hAnsi="Times New Roman" w:cs="Times New Roman"/>
          <w:i/>
          <w:iCs/>
        </w:rPr>
        <w:t xml:space="preserve"> Warren ex rel. Robinson v. Alabama Dep’t of Mental Health</w:t>
      </w:r>
      <w:r w:rsidRPr="003470F0">
        <w:rPr>
          <w:rFonts w:ascii="Times New Roman" w:hAnsi="Times New Roman" w:cs="Times New Roman"/>
        </w:rPr>
        <w:t>, No. 7:16-cv-01666, 2019 WL 1002505, *1, n. 2 (N.D. Ala. Mar. 1, 2019) (finding that “[Alabama’s tolling provision] provides a twenty-year cap on all claims brought by lifelong mentally incapacitated individuals”).</w:t>
      </w:r>
    </w:p>
  </w:endnote>
  <w:endnote w:id="8">
    <w:p w14:paraId="08802BDB"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i/>
          <w:iCs/>
        </w:rPr>
        <w:t>Travis v. Ziter</w:t>
      </w:r>
      <w:r w:rsidRPr="003470F0">
        <w:rPr>
          <w:rFonts w:ascii="Times New Roman" w:hAnsi="Times New Roman" w:cs="Times New Roman"/>
        </w:rPr>
        <w:t>, 681 So.2d 1348, 1355 (Ala. 1996) (holding, “[e]ach cause of action alleged . . . accrued no later than the last alleged actionable contact”).</w:t>
      </w:r>
    </w:p>
  </w:endnote>
  <w:endnote w:id="9">
    <w:p w14:paraId="381F33EC"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smallCaps/>
        </w:rPr>
        <w:t>Ala. Code</w:t>
      </w:r>
      <w:r w:rsidRPr="003470F0">
        <w:rPr>
          <w:rFonts w:ascii="Times New Roman" w:hAnsi="Times New Roman" w:cs="Times New Roman"/>
        </w:rPr>
        <w:t xml:space="preserve"> § 13A-6-158(b)(1) (stating, “[i[f the plaintiff is a minor, then the limitation period will not commence running until he or she has reached the age of majority.”).</w:t>
      </w:r>
    </w:p>
  </w:endnote>
  <w:endnote w:id="10">
    <w:p w14:paraId="2017A387" w14:textId="4BC5B190"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i/>
          <w:iCs/>
        </w:rPr>
        <w:t>Ziter</w:t>
      </w:r>
      <w:r w:rsidRPr="003470F0">
        <w:rPr>
          <w:rFonts w:ascii="Times New Roman" w:hAnsi="Times New Roman" w:cs="Times New Roman"/>
        </w:rPr>
        <w:t xml:space="preserve">, </w:t>
      </w:r>
      <w:r w:rsidR="00CB3983" w:rsidRPr="003470F0">
        <w:rPr>
          <w:rFonts w:ascii="Times New Roman" w:hAnsi="Times New Roman" w:cs="Times New Roman"/>
        </w:rPr>
        <w:t>681 So.2d at 1355</w:t>
      </w:r>
      <w:r w:rsidRPr="003470F0">
        <w:rPr>
          <w:rFonts w:ascii="Times New Roman" w:hAnsi="Times New Roman" w:cs="Times New Roman"/>
        </w:rPr>
        <w:t>.</w:t>
      </w:r>
      <w:r w:rsidRPr="003470F0">
        <w:rPr>
          <w:rFonts w:ascii="Times New Roman" w:hAnsi="Times New Roman" w:cs="Times New Roman"/>
          <w:i/>
          <w:iCs/>
        </w:rPr>
        <w:t xml:space="preserve"> K.R. v. Backpage.com</w:t>
      </w:r>
      <w:r w:rsidRPr="003470F0">
        <w:rPr>
          <w:rFonts w:ascii="Times New Roman" w:hAnsi="Times New Roman" w:cs="Times New Roman"/>
        </w:rPr>
        <w:t>, no 1:17-cv-299, 2017 WL 9471782 (M.D. Ala. June 26, 2017) (alleging CSAM violations of human trafficking statute based in part on abuser taking photographs of minor plaintiff and posting them “in the ‘adult’ advertisements” section on Backpage.com).</w:t>
      </w:r>
    </w:p>
  </w:endnote>
  <w:endnote w:id="11">
    <w:p w14:paraId="0CF6DAB1" w14:textId="1E86AE53" w:rsidR="00D31F3E" w:rsidRPr="003470F0" w:rsidRDefault="00D31F3E" w:rsidP="0011247F">
      <w:pPr>
        <w:pStyle w:val="EndnoteText"/>
        <w:rPr>
          <w:rFonts w:ascii="Times New Roman" w:hAnsi="Times New Roman" w:cs="Times New Roman"/>
        </w:rPr>
      </w:pPr>
      <w:r w:rsidRPr="003470F0">
        <w:rPr>
          <w:rStyle w:val="EndnoteReference"/>
          <w:rFonts w:ascii="Times New Roman" w:hAnsi="Times New Roman" w:cs="Times New Roman"/>
        </w:rPr>
        <w:endnoteRef/>
      </w:r>
      <w:r w:rsidRPr="003470F0">
        <w:rPr>
          <w:rFonts w:ascii="Times New Roman" w:hAnsi="Times New Roman" w:cs="Times New Roman"/>
        </w:rPr>
        <w:t xml:space="preserve"> </w:t>
      </w:r>
      <w:r w:rsidR="0011247F" w:rsidRPr="003470F0">
        <w:rPr>
          <w:rFonts w:ascii="Times New Roman" w:hAnsi="Times New Roman" w:cs="Times New Roman"/>
          <w:smallCaps/>
        </w:rPr>
        <w:t>Ala. Code</w:t>
      </w:r>
      <w:r w:rsidR="0011247F" w:rsidRPr="003470F0">
        <w:rPr>
          <w:rFonts w:ascii="Times New Roman" w:hAnsi="Times New Roman" w:cs="Times New Roman"/>
        </w:rPr>
        <w:t xml:space="preserve"> § 6-2-8(b)(2) (2024); </w:t>
      </w:r>
      <w:r w:rsidR="00B914CA">
        <w:rPr>
          <w:rFonts w:ascii="Times New Roman" w:hAnsi="Times New Roman" w:cs="Times New Roman"/>
        </w:rPr>
        <w:t>S.B.</w:t>
      </w:r>
      <w:r w:rsidR="0011247F" w:rsidRPr="003470F0">
        <w:rPr>
          <w:rFonts w:ascii="Times New Roman" w:hAnsi="Times New Roman" w:cs="Times New Roman"/>
        </w:rPr>
        <w:t xml:space="preserve"> 18, 2024</w:t>
      </w:r>
      <w:r w:rsidR="00B914CA">
        <w:rPr>
          <w:rFonts w:ascii="Times New Roman" w:hAnsi="Times New Roman" w:cs="Times New Roman"/>
        </w:rPr>
        <w:t xml:space="preserve"> Leg., Reg. </w:t>
      </w:r>
      <w:r w:rsidR="0011247F" w:rsidRPr="003470F0">
        <w:rPr>
          <w:rFonts w:ascii="Times New Roman" w:hAnsi="Times New Roman" w:cs="Times New Roman"/>
        </w:rPr>
        <w:t>Sess</w:t>
      </w:r>
      <w:r w:rsidR="00B914CA">
        <w:rPr>
          <w:rFonts w:ascii="Times New Roman" w:hAnsi="Times New Roman" w:cs="Times New Roman"/>
        </w:rPr>
        <w:t>.</w:t>
      </w:r>
      <w:r w:rsidR="0011247F" w:rsidRPr="003470F0">
        <w:rPr>
          <w:rFonts w:ascii="Times New Roman" w:hAnsi="Times New Roman" w:cs="Times New Roman"/>
        </w:rPr>
        <w:t xml:space="preserve"> (</w:t>
      </w:r>
      <w:r w:rsidR="00B914CA">
        <w:rPr>
          <w:rFonts w:ascii="Times New Roman" w:hAnsi="Times New Roman" w:cs="Times New Roman"/>
        </w:rPr>
        <w:t>Ala. 2024</w:t>
      </w:r>
      <w:r w:rsidR="0011247F" w:rsidRPr="003470F0">
        <w:rPr>
          <w:rFonts w:ascii="Times New Roman" w:hAnsi="Times New Roman" w:cs="Times New Roman"/>
        </w:rPr>
        <w:t xml:space="preserve">).  </w:t>
      </w:r>
    </w:p>
  </w:endnote>
  <w:endnote w:id="12">
    <w:p w14:paraId="45E92DC3" w14:textId="682B95F5" w:rsidR="00E66DCE" w:rsidRPr="003470F0" w:rsidRDefault="00E66DCE" w:rsidP="00E66DCE">
      <w:pPr>
        <w:jc w:val="both"/>
        <w:rPr>
          <w:rFonts w:ascii="Times New Roman" w:hAnsi="Times New Roman" w:cs="Times New Roman"/>
          <w:sz w:val="20"/>
          <w:szCs w:val="20"/>
        </w:rPr>
      </w:pPr>
      <w:r w:rsidRPr="003470F0">
        <w:rPr>
          <w:rStyle w:val="EndnoteReference"/>
          <w:rFonts w:ascii="Times New Roman" w:hAnsi="Times New Roman" w:cs="Times New Roman"/>
          <w:sz w:val="20"/>
          <w:szCs w:val="20"/>
        </w:rPr>
        <w:endnoteRef/>
      </w:r>
      <w:r w:rsidRPr="003470F0">
        <w:rPr>
          <w:rFonts w:ascii="Times New Roman" w:hAnsi="Times New Roman" w:cs="Times New Roman"/>
          <w:sz w:val="20"/>
          <w:szCs w:val="20"/>
        </w:rPr>
        <w:t xml:space="preserve"> </w:t>
      </w:r>
      <w:r w:rsidR="00656643" w:rsidRPr="003470F0">
        <w:rPr>
          <w:rFonts w:ascii="Times New Roman" w:hAnsi="Times New Roman" w:cs="Times New Roman"/>
          <w:i/>
          <w:iCs/>
          <w:sz w:val="20"/>
          <w:szCs w:val="20"/>
        </w:rPr>
        <w:t xml:space="preserve">Ziter, </w:t>
      </w:r>
      <w:r w:rsidR="00656643" w:rsidRPr="003470F0">
        <w:rPr>
          <w:rFonts w:ascii="Times New Roman" w:hAnsi="Times New Roman" w:cs="Times New Roman"/>
          <w:sz w:val="20"/>
          <w:szCs w:val="20"/>
        </w:rPr>
        <w:t>691 So.2d</w:t>
      </w:r>
      <w:r w:rsidR="00656643" w:rsidRPr="003470F0">
        <w:rPr>
          <w:rFonts w:ascii="Times New Roman" w:hAnsi="Times New Roman" w:cs="Times New Roman"/>
          <w:i/>
          <w:iCs/>
          <w:sz w:val="20"/>
          <w:szCs w:val="20"/>
        </w:rPr>
        <w:t xml:space="preserve"> </w:t>
      </w:r>
      <w:r w:rsidRPr="003470F0">
        <w:rPr>
          <w:rFonts w:ascii="Times New Roman" w:hAnsi="Times New Roman" w:cs="Times New Roman"/>
          <w:sz w:val="20"/>
          <w:szCs w:val="20"/>
        </w:rPr>
        <w:t xml:space="preserve"> at 1354 (recognizing that in Alabama there is no “discovery rule unless it is specifically prescribed by the Legislature” and there is no statutory discovery rule for CSA).</w:t>
      </w:r>
    </w:p>
  </w:endnote>
  <w:endnote w:id="13">
    <w:p w14:paraId="1D8D62C4" w14:textId="77777777" w:rsidR="00E66DCE" w:rsidRPr="003470F0" w:rsidRDefault="00E66DCE" w:rsidP="00E66DCE">
      <w:pPr>
        <w:jc w:val="both"/>
        <w:rPr>
          <w:rFonts w:ascii="Times New Roman" w:hAnsi="Times New Roman" w:cs="Times New Roman"/>
          <w:sz w:val="20"/>
          <w:szCs w:val="20"/>
        </w:rPr>
      </w:pPr>
      <w:r w:rsidRPr="003470F0">
        <w:rPr>
          <w:rStyle w:val="EndnoteReference"/>
          <w:rFonts w:ascii="Times New Roman" w:hAnsi="Times New Roman" w:cs="Times New Roman"/>
          <w:sz w:val="20"/>
          <w:szCs w:val="20"/>
        </w:rPr>
        <w:endnoteRef/>
      </w:r>
      <w:r w:rsidRPr="003470F0">
        <w:rPr>
          <w:rFonts w:ascii="Times New Roman" w:hAnsi="Times New Roman" w:cs="Times New Roman"/>
          <w:sz w:val="20"/>
          <w:szCs w:val="20"/>
        </w:rPr>
        <w:t xml:space="preserve"> </w:t>
      </w:r>
      <w:r w:rsidRPr="003470F0">
        <w:rPr>
          <w:rFonts w:ascii="Times New Roman" w:hAnsi="Times New Roman" w:cs="Times New Roman"/>
          <w:i/>
          <w:iCs/>
          <w:sz w:val="20"/>
          <w:szCs w:val="20"/>
        </w:rPr>
        <w:t>Id</w:t>
      </w:r>
      <w:r w:rsidRPr="003470F0">
        <w:rPr>
          <w:rFonts w:ascii="Times New Roman" w:hAnsi="Times New Roman" w:cs="Times New Roman"/>
          <w:sz w:val="20"/>
          <w:szCs w:val="20"/>
        </w:rPr>
        <w:t>.</w:t>
      </w:r>
    </w:p>
  </w:endnote>
  <w:endnote w:id="14">
    <w:p w14:paraId="5412B346"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smallCaps/>
        </w:rPr>
        <w:t>Ala. Code</w:t>
      </w:r>
      <w:r w:rsidRPr="003470F0">
        <w:rPr>
          <w:rFonts w:ascii="Times New Roman" w:hAnsi="Times New Roman" w:cs="Times New Roman"/>
        </w:rPr>
        <w:t xml:space="preserve"> § 13A-6-158.</w:t>
      </w:r>
    </w:p>
  </w:endnote>
  <w:endnote w:id="15">
    <w:p w14:paraId="6C745580"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i/>
          <w:iCs/>
        </w:rPr>
        <w:t xml:space="preserve">See id. </w:t>
      </w:r>
      <w:r w:rsidRPr="003470F0">
        <w:rPr>
          <w:rFonts w:ascii="Times New Roman" w:hAnsi="Times New Roman" w:cs="Times New Roman"/>
        </w:rPr>
        <w:t xml:space="preserve">at § 13A-6-158; </w:t>
      </w:r>
      <w:r w:rsidRPr="003470F0">
        <w:rPr>
          <w:rFonts w:ascii="Times New Roman" w:hAnsi="Times New Roman" w:cs="Times New Roman"/>
          <w:smallCaps/>
        </w:rPr>
        <w:t>Ala. Const</w:t>
      </w:r>
      <w:r w:rsidRPr="003470F0">
        <w:rPr>
          <w:rFonts w:ascii="Times New Roman" w:hAnsi="Times New Roman" w:cs="Times New Roman"/>
        </w:rPr>
        <w:t>. art. I, § 14.</w:t>
      </w:r>
    </w:p>
  </w:endnote>
  <w:endnote w:id="16">
    <w:p w14:paraId="4600FDDF" w14:textId="77777777" w:rsidR="00E66DCE" w:rsidRPr="003470F0" w:rsidRDefault="00E66DCE" w:rsidP="00E66DCE">
      <w:pPr>
        <w:pStyle w:val="EndnoteText"/>
        <w:jc w:val="both"/>
        <w:rPr>
          <w:rFonts w:ascii="Times New Roman" w:hAnsi="Times New Roman" w:cs="Times New Roman"/>
          <w:color w:val="000000" w:themeColor="text1"/>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smallCaps/>
        </w:rPr>
        <w:t xml:space="preserve"> Ala. Code</w:t>
      </w:r>
      <w:r w:rsidRPr="003470F0">
        <w:rPr>
          <w:rFonts w:ascii="Times New Roman" w:hAnsi="Times New Roman" w:cs="Times New Roman"/>
        </w:rPr>
        <w:t xml:space="preserve"> § 15-3-6.</w:t>
      </w:r>
    </w:p>
  </w:endnote>
  <w:endnote w:id="17">
    <w:p w14:paraId="2F181CEB" w14:textId="77777777" w:rsidR="00E66DCE" w:rsidRPr="003470F0" w:rsidRDefault="00E66DCE" w:rsidP="00E66DCE">
      <w:pPr>
        <w:pStyle w:val="EndnoteText"/>
        <w:jc w:val="both"/>
        <w:rPr>
          <w:rFonts w:ascii="Times New Roman" w:hAnsi="Times New Roman" w:cs="Times New Roman"/>
          <w:color w:val="000000" w:themeColor="text1"/>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i/>
          <w:iCs/>
          <w:color w:val="000000" w:themeColor="text1"/>
        </w:rPr>
        <w:t>State v. Steele</w:t>
      </w:r>
      <w:r w:rsidRPr="003470F0">
        <w:rPr>
          <w:rFonts w:ascii="Times New Roman" w:hAnsi="Times New Roman" w:cs="Times New Roman"/>
          <w:color w:val="000000" w:themeColor="text1"/>
        </w:rPr>
        <w:t>, 502 So. 2d 874 (Ala. Crim. App. 1987).</w:t>
      </w:r>
    </w:p>
  </w:endnote>
  <w:endnote w:id="18">
    <w:p w14:paraId="4B1A3318" w14:textId="77777777" w:rsidR="00E66DCE" w:rsidRPr="003470F0" w:rsidRDefault="00E66DCE" w:rsidP="00E66DCE">
      <w:pPr>
        <w:pStyle w:val="EndnoteText"/>
        <w:jc w:val="both"/>
        <w:rPr>
          <w:rFonts w:ascii="Times New Roman" w:hAnsi="Times New Roman" w:cs="Times New Roman"/>
          <w:color w:val="000000" w:themeColor="text1"/>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i/>
          <w:iCs/>
          <w:color w:val="000000" w:themeColor="text1"/>
        </w:rPr>
        <w:t>See, e.g.,</w:t>
      </w:r>
      <w:r w:rsidRPr="003470F0">
        <w:rPr>
          <w:rFonts w:ascii="Times New Roman" w:hAnsi="Times New Roman" w:cs="Times New Roman"/>
          <w:color w:val="000000" w:themeColor="text1"/>
        </w:rPr>
        <w:t xml:space="preserve"> </w:t>
      </w:r>
      <w:r w:rsidRPr="003470F0">
        <w:rPr>
          <w:rFonts w:ascii="Times New Roman" w:hAnsi="Times New Roman" w:cs="Times New Roman"/>
          <w:i/>
          <w:iCs/>
          <w:color w:val="000000" w:themeColor="text1"/>
        </w:rPr>
        <w:t>Richardson v. State</w:t>
      </w:r>
      <w:r w:rsidRPr="003470F0">
        <w:rPr>
          <w:rFonts w:ascii="Times New Roman" w:hAnsi="Times New Roman" w:cs="Times New Roman"/>
          <w:color w:val="000000" w:themeColor="text1"/>
        </w:rPr>
        <w:t xml:space="preserve">, 111 So. 204 (Ala. 1926); </w:t>
      </w:r>
      <w:r w:rsidRPr="003470F0">
        <w:rPr>
          <w:rFonts w:ascii="Times New Roman" w:hAnsi="Times New Roman" w:cs="Times New Roman"/>
          <w:i/>
          <w:iCs/>
          <w:color w:val="000000" w:themeColor="text1"/>
        </w:rPr>
        <w:t>Clayton v. State</w:t>
      </w:r>
      <w:r w:rsidRPr="003470F0">
        <w:rPr>
          <w:rFonts w:ascii="Times New Roman" w:hAnsi="Times New Roman" w:cs="Times New Roman"/>
          <w:color w:val="000000" w:themeColor="text1"/>
        </w:rPr>
        <w:t xml:space="preserve">, 26 So. 118 (Ala. 1899); </w:t>
      </w:r>
      <w:r w:rsidRPr="003470F0">
        <w:rPr>
          <w:rFonts w:ascii="Times New Roman" w:hAnsi="Times New Roman" w:cs="Times New Roman"/>
          <w:i/>
          <w:iCs/>
          <w:color w:val="000000" w:themeColor="text1"/>
        </w:rPr>
        <w:t>Watkins v. State</w:t>
      </w:r>
      <w:r w:rsidRPr="003470F0">
        <w:rPr>
          <w:rFonts w:ascii="Times New Roman" w:hAnsi="Times New Roman" w:cs="Times New Roman"/>
          <w:color w:val="000000" w:themeColor="text1"/>
        </w:rPr>
        <w:t>, 455 So.2d. 160 (Ala. Crim. App. 1984).</w:t>
      </w:r>
    </w:p>
  </w:endnote>
  <w:endnote w:id="19">
    <w:p w14:paraId="472703BF"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smallCaps/>
        </w:rPr>
        <w:t>Ala. Code</w:t>
      </w:r>
      <w:r w:rsidRPr="003470F0">
        <w:rPr>
          <w:rFonts w:ascii="Times New Roman" w:hAnsi="Times New Roman" w:cs="Times New Roman"/>
        </w:rPr>
        <w:t xml:space="preserve"> § 15-3-5 (No SOL). </w:t>
      </w:r>
      <w:r w:rsidRPr="003470F0">
        <w:rPr>
          <w:rFonts w:ascii="Times New Roman" w:hAnsi="Times New Roman" w:cs="Times New Roman"/>
          <w:i/>
          <w:iCs/>
        </w:rPr>
        <w:t>See Kirby v. State</w:t>
      </w:r>
      <w:r w:rsidRPr="003470F0">
        <w:rPr>
          <w:rFonts w:ascii="Times New Roman" w:hAnsi="Times New Roman" w:cs="Times New Roman"/>
        </w:rPr>
        <w:t>, 500 So. 2d 79, 80 (Ala. Crim. App. 1986) (holding that there is no criminal SOL for rape as rape is a capital offense for SOL purposes).</w:t>
      </w:r>
    </w:p>
  </w:endnote>
  <w:endnote w:id="20">
    <w:p w14:paraId="3EC7A308"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smallCaps/>
        </w:rPr>
        <w:t>Ala. Code</w:t>
      </w:r>
      <w:r w:rsidRPr="003470F0">
        <w:rPr>
          <w:rFonts w:ascii="Times New Roman" w:hAnsi="Times New Roman" w:cs="Times New Roman"/>
        </w:rPr>
        <w:t xml:space="preserve"> §§ 15-3-1 (five years), 15-3-2 (one year).</w:t>
      </w:r>
    </w:p>
  </w:endnote>
  <w:endnote w:id="21">
    <w:p w14:paraId="0BC65249"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i/>
          <w:iCs/>
        </w:rPr>
        <w:t>Id.</w:t>
      </w:r>
      <w:r w:rsidRPr="003470F0">
        <w:rPr>
          <w:rFonts w:ascii="Times New Roman" w:hAnsi="Times New Roman" w:cs="Times New Roman"/>
        </w:rPr>
        <w:t xml:space="preserve"> at § 13A-6-158 (trafficking SOL).</w:t>
      </w:r>
    </w:p>
  </w:endnote>
  <w:endnote w:id="22">
    <w:p w14:paraId="524F6EF8"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i/>
          <w:iCs/>
        </w:rPr>
        <w:t>Id.</w:t>
      </w:r>
      <w:r w:rsidRPr="003470F0">
        <w:rPr>
          <w:rFonts w:ascii="Times New Roman" w:hAnsi="Times New Roman" w:cs="Times New Roman"/>
        </w:rPr>
        <w:t xml:space="preserve"> at §§ 15-3-5 (2011) (No SOL), 15-20A-5 (2011) (sex offense list).</w:t>
      </w:r>
    </w:p>
  </w:endnote>
  <w:endnote w:id="23">
    <w:p w14:paraId="4C60FFA0"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i/>
          <w:iCs/>
        </w:rPr>
        <w:t>Id.</w:t>
      </w:r>
      <w:r w:rsidRPr="003470F0">
        <w:rPr>
          <w:rFonts w:ascii="Times New Roman" w:hAnsi="Times New Roman" w:cs="Times New Roman"/>
        </w:rPr>
        <w:t xml:space="preserve"> at §§ 15-3-5 (2016) (No SOL), 15-20A-5 (2016) (sex offense list).</w:t>
      </w:r>
    </w:p>
  </w:endnote>
  <w:endnote w:id="24">
    <w:p w14:paraId="403B8DAB"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i/>
          <w:iCs/>
        </w:rPr>
        <w:t>Id.</w:t>
      </w:r>
      <w:r w:rsidRPr="003470F0">
        <w:rPr>
          <w:rFonts w:ascii="Times New Roman" w:hAnsi="Times New Roman" w:cs="Times New Roman"/>
        </w:rPr>
        <w:t xml:space="preserve"> at §§ 15-3-5 (2017) (No SOL), 15-20A-5 (2017) (sex offense list).</w:t>
      </w:r>
    </w:p>
  </w:endnote>
  <w:endnote w:id="25">
    <w:p w14:paraId="47B6AC37" w14:textId="77777777" w:rsidR="00E66DCE" w:rsidRPr="003470F0" w:rsidRDefault="00E66DCE" w:rsidP="00E66DCE">
      <w:pPr>
        <w:pStyle w:val="EndnoteText"/>
        <w:jc w:val="both"/>
        <w:rPr>
          <w:rFonts w:ascii="Times New Roman" w:hAnsi="Times New Roman" w:cs="Times New Roman"/>
        </w:rPr>
      </w:pPr>
      <w:r w:rsidRPr="003470F0">
        <w:rPr>
          <w:rStyle w:val="EndnoteReference"/>
          <w:rFonts w:ascii="Times New Roman" w:eastAsiaTheme="majorEastAsia" w:hAnsi="Times New Roman" w:cs="Times New Roman"/>
        </w:rPr>
        <w:endnoteRef/>
      </w:r>
      <w:r w:rsidRPr="003470F0">
        <w:rPr>
          <w:rFonts w:ascii="Times New Roman" w:hAnsi="Times New Roman" w:cs="Times New Roman"/>
        </w:rPr>
        <w:t xml:space="preserve"> </w:t>
      </w:r>
      <w:r w:rsidRPr="003470F0">
        <w:rPr>
          <w:rFonts w:ascii="Times New Roman" w:hAnsi="Times New Roman" w:cs="Times New Roman"/>
          <w:i/>
          <w:iCs/>
        </w:rPr>
        <w:t>Id.</w:t>
      </w:r>
      <w:r w:rsidRPr="003470F0">
        <w:rPr>
          <w:rFonts w:ascii="Times New Roman" w:hAnsi="Times New Roman" w:cs="Times New Roman"/>
        </w:rPr>
        <w:t xml:space="preserve"> at § 13A-6-158 (trafficking SOL).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2156071"/>
      <w:docPartObj>
        <w:docPartGallery w:val="Page Numbers (Bottom of Page)"/>
        <w:docPartUnique/>
      </w:docPartObj>
    </w:sdtPr>
    <w:sdtContent>
      <w:p w14:paraId="2D745110" w14:textId="77777777" w:rsidR="006E1626" w:rsidRDefault="00A5296E" w:rsidP="005C0194">
        <w:pPr>
          <w:pStyle w:val="Footer"/>
          <w:framePr w:wrap="none" w:vAnchor="text" w:hAnchor="margin" w:xAlign="center" w:y="1"/>
          <w:rPr>
            <w:rStyle w:val="PageNumber"/>
          </w:rPr>
        </w:pPr>
        <w:r w:rsidRPr="00C814B6">
          <w:rPr>
            <w:rStyle w:val="PageNumber"/>
            <w:rFonts w:ascii="Times New Roman" w:hAnsi="Times New Roman" w:cs="Times New Roman"/>
          </w:rPr>
          <w:fldChar w:fldCharType="begin"/>
        </w:r>
        <w:r w:rsidRPr="00C814B6">
          <w:rPr>
            <w:rStyle w:val="PageNumber"/>
            <w:rFonts w:ascii="Times New Roman" w:hAnsi="Times New Roman" w:cs="Times New Roman"/>
          </w:rPr>
          <w:instrText xml:space="preserve"> PAGE </w:instrText>
        </w:r>
        <w:r w:rsidRPr="00C814B6">
          <w:rPr>
            <w:rStyle w:val="PageNumber"/>
            <w:rFonts w:ascii="Times New Roman" w:hAnsi="Times New Roman" w:cs="Times New Roman"/>
          </w:rPr>
          <w:fldChar w:fldCharType="separate"/>
        </w:r>
        <w:r w:rsidRPr="00C814B6">
          <w:rPr>
            <w:rStyle w:val="PageNumber"/>
            <w:rFonts w:ascii="Times New Roman" w:hAnsi="Times New Roman" w:cs="Times New Roman"/>
            <w:noProof/>
          </w:rPr>
          <w:t>5</w:t>
        </w:r>
        <w:r w:rsidRPr="00C814B6">
          <w:rPr>
            <w:rStyle w:val="PageNumber"/>
            <w:rFonts w:ascii="Times New Roman" w:hAnsi="Times New Roman" w:cs="Times New Roman"/>
          </w:rPr>
          <w:fldChar w:fldCharType="end"/>
        </w:r>
      </w:p>
    </w:sdtContent>
  </w:sdt>
  <w:p w14:paraId="625695DF" w14:textId="77777777" w:rsidR="006E1626" w:rsidRDefault="006E1626" w:rsidP="001A2AE8">
    <w:pPr>
      <w:widowControl w:val="0"/>
      <w:spacing w:line="360" w:lineRule="auto"/>
      <w:rPr>
        <w:rFonts w:ascii="Century Schoolbook" w:eastAsia="Century Schoolbook" w:hAnsi="Century Schoolbook" w:cs="Century Schoolbook"/>
        <w:color w:val="052C64"/>
        <w:sz w:val="20"/>
      </w:rPr>
    </w:pPr>
  </w:p>
  <w:p w14:paraId="2EC07BA8" w14:textId="77777777" w:rsidR="006E1626" w:rsidRPr="003452C3" w:rsidRDefault="00A5296E" w:rsidP="003452C3">
    <w:pPr>
      <w:widowControl w:val="0"/>
      <w:spacing w:line="360" w:lineRule="auto"/>
      <w:jc w:val="center"/>
      <w:rPr>
        <w:rFonts w:ascii="Century Schoolbook" w:eastAsia="Century Schoolbook" w:hAnsi="Century Schoolbook" w:cs="Century Schoolbook"/>
        <w:b/>
        <w:sz w:val="20"/>
      </w:rPr>
    </w:pPr>
    <w:r>
      <w:rPr>
        <w:rFonts w:ascii="Century Schoolbook" w:eastAsia="Century Schoolbook" w:hAnsi="Century Schoolbook" w:cs="Century Schoolbook"/>
        <w:color w:val="052C64"/>
        <w:sz w:val="20"/>
      </w:rPr>
      <w:t>www.childusa.org |</w:t>
    </w:r>
    <w:r>
      <w:rPr>
        <w:rFonts w:ascii="Century Schoolbook" w:eastAsia="Century Schoolbook" w:hAnsi="Century Schoolbook" w:cs="Century Schoolbook"/>
        <w:color w:val="000000"/>
        <w:sz w:val="20"/>
      </w:rPr>
      <w:t>3508 Market St., Suite 202</w:t>
    </w:r>
    <w:r>
      <w:rPr>
        <w:rFonts w:ascii="Century Schoolbook" w:eastAsia="Century Schoolbook" w:hAnsi="Century Schoolbook" w:cs="Century Schoolbook"/>
        <w:color w:val="052C64"/>
        <w:sz w:val="20"/>
      </w:rPr>
      <w:t xml:space="preserve"> | </w:t>
    </w:r>
    <w:r>
      <w:rPr>
        <w:rFonts w:ascii="Century Schoolbook" w:eastAsia="Century Schoolbook" w:hAnsi="Century Schoolbook" w:cs="Century Schoolbook"/>
        <w:color w:val="000000"/>
        <w:sz w:val="20"/>
      </w:rPr>
      <w:t>Philadelphia, PA 19104 | 215.539.1906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244A1" w14:textId="77777777" w:rsidR="0011317C" w:rsidRDefault="0011317C" w:rsidP="00E66DCE">
      <w:r>
        <w:separator/>
      </w:r>
    </w:p>
  </w:footnote>
  <w:footnote w:type="continuationSeparator" w:id="0">
    <w:p w14:paraId="69D776B3" w14:textId="77777777" w:rsidR="0011317C" w:rsidRDefault="0011317C" w:rsidP="00E66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342B64" w14:paraId="183A9B6F" w14:textId="77777777" w:rsidTr="006D1FCD">
      <w:tc>
        <w:tcPr>
          <w:tcW w:w="3120" w:type="dxa"/>
        </w:tcPr>
        <w:p w14:paraId="0D69850B" w14:textId="77777777" w:rsidR="006E1626" w:rsidRDefault="006E1626" w:rsidP="006D1FCD">
          <w:pPr>
            <w:pStyle w:val="Header"/>
            <w:ind w:left="-115"/>
          </w:pPr>
        </w:p>
      </w:tc>
      <w:tc>
        <w:tcPr>
          <w:tcW w:w="3120" w:type="dxa"/>
        </w:tcPr>
        <w:p w14:paraId="2421B3B1" w14:textId="77777777" w:rsidR="006E1626" w:rsidRDefault="006E1626" w:rsidP="006D1FCD">
          <w:pPr>
            <w:pStyle w:val="Header"/>
            <w:jc w:val="center"/>
          </w:pPr>
        </w:p>
      </w:tc>
      <w:tc>
        <w:tcPr>
          <w:tcW w:w="3120" w:type="dxa"/>
        </w:tcPr>
        <w:p w14:paraId="3BF745B9" w14:textId="77777777" w:rsidR="006E1626" w:rsidRDefault="006E1626" w:rsidP="006D1FCD">
          <w:pPr>
            <w:pStyle w:val="Header"/>
            <w:ind w:right="-115"/>
            <w:jc w:val="right"/>
          </w:pPr>
        </w:p>
      </w:tc>
    </w:tr>
  </w:tbl>
  <w:p w14:paraId="1B69A0E8" w14:textId="77777777" w:rsidR="006E1626" w:rsidRDefault="006E1626" w:rsidP="00393499">
    <w:pPr>
      <w:pStyle w:val="Header"/>
      <w:jc w:val="center"/>
    </w:pPr>
  </w:p>
  <w:p w14:paraId="3E4EA4DF" w14:textId="77777777" w:rsidR="006E1626" w:rsidRDefault="006E16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2989"/>
    <w:multiLevelType w:val="hybridMultilevel"/>
    <w:tmpl w:val="FFFFFFFF"/>
    <w:lvl w:ilvl="0" w:tplc="6F3E32C0">
      <w:start w:val="1"/>
      <w:numFmt w:val="bullet"/>
      <w:lvlText w:val=""/>
      <w:lvlJc w:val="left"/>
      <w:pPr>
        <w:ind w:left="720" w:hanging="360"/>
      </w:pPr>
      <w:rPr>
        <w:rFonts w:ascii="Symbol" w:hAnsi="Symbol" w:hint="default"/>
      </w:rPr>
    </w:lvl>
    <w:lvl w:ilvl="1" w:tplc="747082C2">
      <w:start w:val="1"/>
      <w:numFmt w:val="bullet"/>
      <w:lvlText w:val=""/>
      <w:lvlJc w:val="left"/>
      <w:pPr>
        <w:ind w:left="1440" w:hanging="360"/>
      </w:pPr>
      <w:rPr>
        <w:rFonts w:ascii="Symbol" w:hAnsi="Symbol" w:hint="default"/>
      </w:rPr>
    </w:lvl>
    <w:lvl w:ilvl="2" w:tplc="C8ECC44C">
      <w:start w:val="1"/>
      <w:numFmt w:val="bullet"/>
      <w:lvlText w:val=""/>
      <w:lvlJc w:val="left"/>
      <w:pPr>
        <w:ind w:left="2160" w:hanging="360"/>
      </w:pPr>
      <w:rPr>
        <w:rFonts w:ascii="Wingdings" w:hAnsi="Wingdings" w:hint="default"/>
      </w:rPr>
    </w:lvl>
    <w:lvl w:ilvl="3" w:tplc="4EB008E8">
      <w:start w:val="1"/>
      <w:numFmt w:val="bullet"/>
      <w:lvlText w:val=""/>
      <w:lvlJc w:val="left"/>
      <w:pPr>
        <w:ind w:left="2880" w:hanging="360"/>
      </w:pPr>
      <w:rPr>
        <w:rFonts w:ascii="Symbol" w:hAnsi="Symbol" w:hint="default"/>
      </w:rPr>
    </w:lvl>
    <w:lvl w:ilvl="4" w:tplc="F614DF78">
      <w:start w:val="1"/>
      <w:numFmt w:val="bullet"/>
      <w:lvlText w:val="o"/>
      <w:lvlJc w:val="left"/>
      <w:pPr>
        <w:ind w:left="3600" w:hanging="360"/>
      </w:pPr>
      <w:rPr>
        <w:rFonts w:ascii="Courier New" w:hAnsi="Courier New" w:hint="default"/>
      </w:rPr>
    </w:lvl>
    <w:lvl w:ilvl="5" w:tplc="8E3287FE">
      <w:start w:val="1"/>
      <w:numFmt w:val="bullet"/>
      <w:lvlText w:val=""/>
      <w:lvlJc w:val="left"/>
      <w:pPr>
        <w:ind w:left="4320" w:hanging="360"/>
      </w:pPr>
      <w:rPr>
        <w:rFonts w:ascii="Wingdings" w:hAnsi="Wingdings" w:hint="default"/>
      </w:rPr>
    </w:lvl>
    <w:lvl w:ilvl="6" w:tplc="AF2227A0">
      <w:start w:val="1"/>
      <w:numFmt w:val="bullet"/>
      <w:lvlText w:val=""/>
      <w:lvlJc w:val="left"/>
      <w:pPr>
        <w:ind w:left="5040" w:hanging="360"/>
      </w:pPr>
      <w:rPr>
        <w:rFonts w:ascii="Symbol" w:hAnsi="Symbol" w:hint="default"/>
      </w:rPr>
    </w:lvl>
    <w:lvl w:ilvl="7" w:tplc="80C6B894">
      <w:start w:val="1"/>
      <w:numFmt w:val="bullet"/>
      <w:lvlText w:val="o"/>
      <w:lvlJc w:val="left"/>
      <w:pPr>
        <w:ind w:left="5760" w:hanging="360"/>
      </w:pPr>
      <w:rPr>
        <w:rFonts w:ascii="Courier New" w:hAnsi="Courier New" w:hint="default"/>
      </w:rPr>
    </w:lvl>
    <w:lvl w:ilvl="8" w:tplc="A7D4217A">
      <w:start w:val="1"/>
      <w:numFmt w:val="bullet"/>
      <w:lvlText w:val=""/>
      <w:lvlJc w:val="left"/>
      <w:pPr>
        <w:ind w:left="6480" w:hanging="360"/>
      </w:pPr>
      <w:rPr>
        <w:rFonts w:ascii="Wingdings" w:hAnsi="Wingdings" w:hint="default"/>
      </w:rPr>
    </w:lvl>
  </w:abstractNum>
  <w:abstractNum w:abstractNumId="1" w15:restartNumberingAfterBreak="0">
    <w:nsid w:val="015C4326"/>
    <w:multiLevelType w:val="hybridMultilevel"/>
    <w:tmpl w:val="03401E4E"/>
    <w:lvl w:ilvl="0" w:tplc="6E427C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51684A"/>
    <w:multiLevelType w:val="hybridMultilevel"/>
    <w:tmpl w:val="8BFEF018"/>
    <w:lvl w:ilvl="0" w:tplc="D6AE4F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73CB2"/>
    <w:multiLevelType w:val="hybridMultilevel"/>
    <w:tmpl w:val="705C19EE"/>
    <w:lvl w:ilvl="0" w:tplc="C6E289D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A1735"/>
    <w:multiLevelType w:val="hybridMultilevel"/>
    <w:tmpl w:val="621ADB22"/>
    <w:lvl w:ilvl="0" w:tplc="C5C4A772">
      <w:start w:val="1"/>
      <w:numFmt w:val="decimal"/>
      <w:lvlText w:val="%1."/>
      <w:lvlJc w:val="left"/>
      <w:pPr>
        <w:ind w:left="1260" w:hanging="360"/>
      </w:pPr>
      <w:rPr>
        <w:rFonts w:eastAsia="Times New Roman" w:hint="default"/>
        <w:i/>
        <w:color w:val="0563C1" w:themeColor="hyperlink"/>
        <w:u w:val="singl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B2829E6"/>
    <w:multiLevelType w:val="hybridMultilevel"/>
    <w:tmpl w:val="07F6A3C8"/>
    <w:lvl w:ilvl="0" w:tplc="4F2EEB6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E4523"/>
    <w:multiLevelType w:val="hybridMultilevel"/>
    <w:tmpl w:val="3E325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A651B"/>
    <w:multiLevelType w:val="hybridMultilevel"/>
    <w:tmpl w:val="8F345C66"/>
    <w:lvl w:ilvl="0" w:tplc="C4464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B74BC"/>
    <w:multiLevelType w:val="hybridMultilevel"/>
    <w:tmpl w:val="2D5C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B5309"/>
    <w:multiLevelType w:val="hybridMultilevel"/>
    <w:tmpl w:val="1EDA1488"/>
    <w:lvl w:ilvl="0" w:tplc="97ECA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5586F"/>
    <w:multiLevelType w:val="hybridMultilevel"/>
    <w:tmpl w:val="8B3E5E0A"/>
    <w:lvl w:ilvl="0" w:tplc="7D941B8E">
      <w:start w:val="1"/>
      <w:numFmt w:val="upperLetter"/>
      <w:lvlText w:val="%1."/>
      <w:lvlJc w:val="left"/>
      <w:pPr>
        <w:ind w:left="600" w:hanging="360"/>
      </w:pPr>
      <w:rPr>
        <w:rFonts w:eastAsia="Times New Roman" w:hint="default"/>
        <w:b/>
        <w:color w:val="0563C1" w:themeColor="hyperlink"/>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274D7676"/>
    <w:multiLevelType w:val="hybridMultilevel"/>
    <w:tmpl w:val="2236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95FB2"/>
    <w:multiLevelType w:val="hybridMultilevel"/>
    <w:tmpl w:val="1E5030B2"/>
    <w:lvl w:ilvl="0" w:tplc="FFFFFFFF">
      <w:start w:val="1"/>
      <w:numFmt w:val="upperRoman"/>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ED55D1F"/>
    <w:multiLevelType w:val="hybridMultilevel"/>
    <w:tmpl w:val="FFFFFFFF"/>
    <w:lvl w:ilvl="0" w:tplc="6ACA5F46">
      <w:start w:val="1"/>
      <w:numFmt w:val="decimal"/>
      <w:lvlText w:val="%1."/>
      <w:lvlJc w:val="left"/>
      <w:pPr>
        <w:ind w:left="720" w:hanging="360"/>
      </w:pPr>
    </w:lvl>
    <w:lvl w:ilvl="1" w:tplc="6AC23654">
      <w:start w:val="1"/>
      <w:numFmt w:val="lowerLetter"/>
      <w:lvlText w:val="%2."/>
      <w:lvlJc w:val="left"/>
      <w:pPr>
        <w:ind w:left="1440" w:hanging="360"/>
      </w:pPr>
    </w:lvl>
    <w:lvl w:ilvl="2" w:tplc="A6DA955A">
      <w:start w:val="1"/>
      <w:numFmt w:val="lowerRoman"/>
      <w:lvlText w:val="%3."/>
      <w:lvlJc w:val="right"/>
      <w:pPr>
        <w:ind w:left="2160" w:hanging="180"/>
      </w:pPr>
    </w:lvl>
    <w:lvl w:ilvl="3" w:tplc="484293DE">
      <w:start w:val="1"/>
      <w:numFmt w:val="decimal"/>
      <w:lvlText w:val="%4."/>
      <w:lvlJc w:val="left"/>
      <w:pPr>
        <w:ind w:left="2880" w:hanging="360"/>
      </w:pPr>
    </w:lvl>
    <w:lvl w:ilvl="4" w:tplc="1A3244CE">
      <w:start w:val="1"/>
      <w:numFmt w:val="lowerLetter"/>
      <w:lvlText w:val="%5."/>
      <w:lvlJc w:val="left"/>
      <w:pPr>
        <w:ind w:left="3600" w:hanging="360"/>
      </w:pPr>
    </w:lvl>
    <w:lvl w:ilvl="5" w:tplc="014C2AD2">
      <w:start w:val="1"/>
      <w:numFmt w:val="lowerRoman"/>
      <w:lvlText w:val="%6."/>
      <w:lvlJc w:val="right"/>
      <w:pPr>
        <w:ind w:left="4320" w:hanging="180"/>
      </w:pPr>
    </w:lvl>
    <w:lvl w:ilvl="6" w:tplc="3BFC90D0">
      <w:start w:val="1"/>
      <w:numFmt w:val="decimal"/>
      <w:lvlText w:val="%7."/>
      <w:lvlJc w:val="left"/>
      <w:pPr>
        <w:ind w:left="5040" w:hanging="360"/>
      </w:pPr>
    </w:lvl>
    <w:lvl w:ilvl="7" w:tplc="E36AECC0">
      <w:start w:val="1"/>
      <w:numFmt w:val="lowerLetter"/>
      <w:lvlText w:val="%8."/>
      <w:lvlJc w:val="left"/>
      <w:pPr>
        <w:ind w:left="5760" w:hanging="360"/>
      </w:pPr>
    </w:lvl>
    <w:lvl w:ilvl="8" w:tplc="433840F6">
      <w:start w:val="1"/>
      <w:numFmt w:val="lowerRoman"/>
      <w:lvlText w:val="%9."/>
      <w:lvlJc w:val="right"/>
      <w:pPr>
        <w:ind w:left="6480" w:hanging="180"/>
      </w:pPr>
    </w:lvl>
  </w:abstractNum>
  <w:abstractNum w:abstractNumId="14" w15:restartNumberingAfterBreak="0">
    <w:nsid w:val="31A70BF5"/>
    <w:multiLevelType w:val="hybridMultilevel"/>
    <w:tmpl w:val="3B1E5B1A"/>
    <w:lvl w:ilvl="0" w:tplc="5C34A576">
      <w:start w:val="1"/>
      <w:numFmt w:val="upperRoman"/>
      <w:lvlText w:val="%1."/>
      <w:lvlJc w:val="left"/>
      <w:pPr>
        <w:ind w:left="1080" w:hanging="720"/>
      </w:pPr>
      <w:rPr>
        <w:rFonts w:ascii="Times New Roman" w:eastAsia="Times" w:hAnsi="Times New Roman" w:cs="Times New Roman" w:hint="default"/>
        <w:b/>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E4994"/>
    <w:multiLevelType w:val="hybridMultilevel"/>
    <w:tmpl w:val="069AAA7A"/>
    <w:lvl w:ilvl="0" w:tplc="7264DEA6">
      <w:start w:val="1"/>
      <w:numFmt w:val="upperLetter"/>
      <w:lvlText w:val="%1."/>
      <w:lvlJc w:val="left"/>
      <w:pPr>
        <w:ind w:left="630" w:hanging="360"/>
      </w:pPr>
      <w:rPr>
        <w:rFonts w:eastAsia="Times New Roman" w:hint="default"/>
        <w:b/>
        <w:color w:val="0563C1" w:themeColor="hyperlink"/>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0802C6C"/>
    <w:multiLevelType w:val="hybridMultilevel"/>
    <w:tmpl w:val="FFFFFFFF"/>
    <w:lvl w:ilvl="0" w:tplc="DC44CE4C">
      <w:start w:val="1"/>
      <w:numFmt w:val="upperRoman"/>
      <w:lvlText w:val="%1."/>
      <w:lvlJc w:val="left"/>
      <w:pPr>
        <w:ind w:left="720" w:hanging="360"/>
      </w:pPr>
    </w:lvl>
    <w:lvl w:ilvl="1" w:tplc="D5DCDC4A">
      <w:start w:val="1"/>
      <w:numFmt w:val="lowerLetter"/>
      <w:lvlText w:val="%2."/>
      <w:lvlJc w:val="left"/>
      <w:pPr>
        <w:ind w:left="1440" w:hanging="360"/>
      </w:pPr>
    </w:lvl>
    <w:lvl w:ilvl="2" w:tplc="AAF89B72">
      <w:start w:val="1"/>
      <w:numFmt w:val="lowerRoman"/>
      <w:lvlText w:val="%3."/>
      <w:lvlJc w:val="right"/>
      <w:pPr>
        <w:ind w:left="2160" w:hanging="180"/>
      </w:pPr>
    </w:lvl>
    <w:lvl w:ilvl="3" w:tplc="EFF645DA">
      <w:start w:val="1"/>
      <w:numFmt w:val="decimal"/>
      <w:lvlText w:val="%4."/>
      <w:lvlJc w:val="left"/>
      <w:pPr>
        <w:ind w:left="2880" w:hanging="360"/>
      </w:pPr>
    </w:lvl>
    <w:lvl w:ilvl="4" w:tplc="35E894C8">
      <w:start w:val="1"/>
      <w:numFmt w:val="lowerLetter"/>
      <w:lvlText w:val="%5."/>
      <w:lvlJc w:val="left"/>
      <w:pPr>
        <w:ind w:left="3600" w:hanging="360"/>
      </w:pPr>
    </w:lvl>
    <w:lvl w:ilvl="5" w:tplc="463E3ED2">
      <w:start w:val="1"/>
      <w:numFmt w:val="lowerRoman"/>
      <w:lvlText w:val="%6."/>
      <w:lvlJc w:val="right"/>
      <w:pPr>
        <w:ind w:left="4320" w:hanging="180"/>
      </w:pPr>
    </w:lvl>
    <w:lvl w:ilvl="6" w:tplc="7384E98E">
      <w:start w:val="1"/>
      <w:numFmt w:val="decimal"/>
      <w:lvlText w:val="%7."/>
      <w:lvlJc w:val="left"/>
      <w:pPr>
        <w:ind w:left="5040" w:hanging="360"/>
      </w:pPr>
    </w:lvl>
    <w:lvl w:ilvl="7" w:tplc="95B860DA">
      <w:start w:val="1"/>
      <w:numFmt w:val="lowerLetter"/>
      <w:lvlText w:val="%8."/>
      <w:lvlJc w:val="left"/>
      <w:pPr>
        <w:ind w:left="5760" w:hanging="360"/>
      </w:pPr>
    </w:lvl>
    <w:lvl w:ilvl="8" w:tplc="050E41EE">
      <w:start w:val="1"/>
      <w:numFmt w:val="lowerRoman"/>
      <w:lvlText w:val="%9."/>
      <w:lvlJc w:val="right"/>
      <w:pPr>
        <w:ind w:left="6480" w:hanging="180"/>
      </w:pPr>
    </w:lvl>
  </w:abstractNum>
  <w:abstractNum w:abstractNumId="17" w15:restartNumberingAfterBreak="0">
    <w:nsid w:val="42242EB1"/>
    <w:multiLevelType w:val="hybridMultilevel"/>
    <w:tmpl w:val="06065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FA321F"/>
    <w:multiLevelType w:val="hybridMultilevel"/>
    <w:tmpl w:val="CAA0F900"/>
    <w:lvl w:ilvl="0" w:tplc="3D62469C">
      <w:start w:val="1"/>
      <w:numFmt w:val="decimal"/>
      <w:lvlText w:val="%1."/>
      <w:lvlJc w:val="left"/>
      <w:pPr>
        <w:ind w:left="1800" w:hanging="360"/>
      </w:pPr>
      <w:rPr>
        <w:rFonts w:hint="default"/>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77B03E0"/>
    <w:multiLevelType w:val="hybridMultilevel"/>
    <w:tmpl w:val="94ACF962"/>
    <w:lvl w:ilvl="0" w:tplc="C7F82B38">
      <w:start w:val="1"/>
      <w:numFmt w:val="decimal"/>
      <w:lvlText w:val="%1."/>
      <w:lvlJc w:val="left"/>
      <w:pPr>
        <w:ind w:left="720" w:hanging="360"/>
      </w:pPr>
    </w:lvl>
    <w:lvl w:ilvl="1" w:tplc="8CE81798">
      <w:start w:val="1"/>
      <w:numFmt w:val="lowerLetter"/>
      <w:lvlText w:val="%2."/>
      <w:lvlJc w:val="left"/>
      <w:pPr>
        <w:ind w:left="1440" w:hanging="360"/>
      </w:pPr>
    </w:lvl>
    <w:lvl w:ilvl="2" w:tplc="A230804E">
      <w:start w:val="1"/>
      <w:numFmt w:val="lowerRoman"/>
      <w:lvlText w:val="%3."/>
      <w:lvlJc w:val="right"/>
      <w:pPr>
        <w:ind w:left="2160" w:hanging="180"/>
      </w:pPr>
    </w:lvl>
    <w:lvl w:ilvl="3" w:tplc="C9683004">
      <w:start w:val="1"/>
      <w:numFmt w:val="decimal"/>
      <w:lvlText w:val="%4."/>
      <w:lvlJc w:val="left"/>
      <w:pPr>
        <w:ind w:left="2880" w:hanging="360"/>
      </w:pPr>
    </w:lvl>
    <w:lvl w:ilvl="4" w:tplc="746A9ADE">
      <w:start w:val="1"/>
      <w:numFmt w:val="lowerLetter"/>
      <w:lvlText w:val="%5."/>
      <w:lvlJc w:val="left"/>
      <w:pPr>
        <w:ind w:left="3600" w:hanging="360"/>
      </w:pPr>
    </w:lvl>
    <w:lvl w:ilvl="5" w:tplc="CF2EAEDC">
      <w:start w:val="1"/>
      <w:numFmt w:val="lowerRoman"/>
      <w:lvlText w:val="%6."/>
      <w:lvlJc w:val="right"/>
      <w:pPr>
        <w:ind w:left="4320" w:hanging="180"/>
      </w:pPr>
    </w:lvl>
    <w:lvl w:ilvl="6" w:tplc="C3201E82">
      <w:start w:val="1"/>
      <w:numFmt w:val="decimal"/>
      <w:lvlText w:val="%7."/>
      <w:lvlJc w:val="left"/>
      <w:pPr>
        <w:ind w:left="5040" w:hanging="360"/>
      </w:pPr>
    </w:lvl>
    <w:lvl w:ilvl="7" w:tplc="DA9C1630">
      <w:start w:val="1"/>
      <w:numFmt w:val="lowerLetter"/>
      <w:lvlText w:val="%8."/>
      <w:lvlJc w:val="left"/>
      <w:pPr>
        <w:ind w:left="5760" w:hanging="360"/>
      </w:pPr>
    </w:lvl>
    <w:lvl w:ilvl="8" w:tplc="9D228F10">
      <w:start w:val="1"/>
      <w:numFmt w:val="lowerRoman"/>
      <w:lvlText w:val="%9."/>
      <w:lvlJc w:val="right"/>
      <w:pPr>
        <w:ind w:left="6480" w:hanging="180"/>
      </w:pPr>
    </w:lvl>
  </w:abstractNum>
  <w:abstractNum w:abstractNumId="20" w15:restartNumberingAfterBreak="0">
    <w:nsid w:val="488C629D"/>
    <w:multiLevelType w:val="hybridMultilevel"/>
    <w:tmpl w:val="E91C92A2"/>
    <w:lvl w:ilvl="0" w:tplc="FFFFFFFF">
      <w:start w:val="1"/>
      <w:numFmt w:val="upperRoman"/>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C2B5DE1"/>
    <w:multiLevelType w:val="hybridMultilevel"/>
    <w:tmpl w:val="82CAE6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FB7FB8"/>
    <w:multiLevelType w:val="hybridMultilevel"/>
    <w:tmpl w:val="FFFFFFFF"/>
    <w:lvl w:ilvl="0" w:tplc="20BAD0B4">
      <w:start w:val="1"/>
      <w:numFmt w:val="bullet"/>
      <w:lvlText w:val=""/>
      <w:lvlJc w:val="left"/>
      <w:pPr>
        <w:ind w:left="720" w:hanging="360"/>
      </w:pPr>
      <w:rPr>
        <w:rFonts w:ascii="Symbol" w:hAnsi="Symbol" w:hint="default"/>
      </w:rPr>
    </w:lvl>
    <w:lvl w:ilvl="1" w:tplc="351AAB0C">
      <w:start w:val="1"/>
      <w:numFmt w:val="bullet"/>
      <w:lvlText w:val=""/>
      <w:lvlJc w:val="left"/>
      <w:pPr>
        <w:ind w:left="1440" w:hanging="360"/>
      </w:pPr>
      <w:rPr>
        <w:rFonts w:ascii="Symbol" w:hAnsi="Symbol" w:hint="default"/>
      </w:rPr>
    </w:lvl>
    <w:lvl w:ilvl="2" w:tplc="88221684">
      <w:start w:val="1"/>
      <w:numFmt w:val="bullet"/>
      <w:lvlText w:val=""/>
      <w:lvlJc w:val="left"/>
      <w:pPr>
        <w:ind w:left="2160" w:hanging="360"/>
      </w:pPr>
      <w:rPr>
        <w:rFonts w:ascii="Wingdings" w:hAnsi="Wingdings" w:hint="default"/>
      </w:rPr>
    </w:lvl>
    <w:lvl w:ilvl="3" w:tplc="3926E1F4">
      <w:start w:val="1"/>
      <w:numFmt w:val="bullet"/>
      <w:lvlText w:val=""/>
      <w:lvlJc w:val="left"/>
      <w:pPr>
        <w:ind w:left="2880" w:hanging="360"/>
      </w:pPr>
      <w:rPr>
        <w:rFonts w:ascii="Symbol" w:hAnsi="Symbol" w:hint="default"/>
      </w:rPr>
    </w:lvl>
    <w:lvl w:ilvl="4" w:tplc="C8E0B932">
      <w:start w:val="1"/>
      <w:numFmt w:val="bullet"/>
      <w:lvlText w:val="o"/>
      <w:lvlJc w:val="left"/>
      <w:pPr>
        <w:ind w:left="3600" w:hanging="360"/>
      </w:pPr>
      <w:rPr>
        <w:rFonts w:ascii="Courier New" w:hAnsi="Courier New" w:hint="default"/>
      </w:rPr>
    </w:lvl>
    <w:lvl w:ilvl="5" w:tplc="5C1AB0CC">
      <w:start w:val="1"/>
      <w:numFmt w:val="bullet"/>
      <w:lvlText w:val=""/>
      <w:lvlJc w:val="left"/>
      <w:pPr>
        <w:ind w:left="4320" w:hanging="360"/>
      </w:pPr>
      <w:rPr>
        <w:rFonts w:ascii="Wingdings" w:hAnsi="Wingdings" w:hint="default"/>
      </w:rPr>
    </w:lvl>
    <w:lvl w:ilvl="6" w:tplc="FD9CF666">
      <w:start w:val="1"/>
      <w:numFmt w:val="bullet"/>
      <w:lvlText w:val=""/>
      <w:lvlJc w:val="left"/>
      <w:pPr>
        <w:ind w:left="5040" w:hanging="360"/>
      </w:pPr>
      <w:rPr>
        <w:rFonts w:ascii="Symbol" w:hAnsi="Symbol" w:hint="default"/>
      </w:rPr>
    </w:lvl>
    <w:lvl w:ilvl="7" w:tplc="411C2042">
      <w:start w:val="1"/>
      <w:numFmt w:val="bullet"/>
      <w:lvlText w:val="o"/>
      <w:lvlJc w:val="left"/>
      <w:pPr>
        <w:ind w:left="5760" w:hanging="360"/>
      </w:pPr>
      <w:rPr>
        <w:rFonts w:ascii="Courier New" w:hAnsi="Courier New" w:hint="default"/>
      </w:rPr>
    </w:lvl>
    <w:lvl w:ilvl="8" w:tplc="E9CA8FDA">
      <w:start w:val="1"/>
      <w:numFmt w:val="bullet"/>
      <w:lvlText w:val=""/>
      <w:lvlJc w:val="left"/>
      <w:pPr>
        <w:ind w:left="6480" w:hanging="360"/>
      </w:pPr>
      <w:rPr>
        <w:rFonts w:ascii="Wingdings" w:hAnsi="Wingdings" w:hint="default"/>
      </w:rPr>
    </w:lvl>
  </w:abstractNum>
  <w:abstractNum w:abstractNumId="23" w15:restartNumberingAfterBreak="0">
    <w:nsid w:val="4FC866D5"/>
    <w:multiLevelType w:val="hybridMultilevel"/>
    <w:tmpl w:val="A2923986"/>
    <w:lvl w:ilvl="0" w:tplc="560A4FDA">
      <w:start w:val="1"/>
      <w:numFmt w:val="upp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877737"/>
    <w:multiLevelType w:val="hybridMultilevel"/>
    <w:tmpl w:val="21A6592C"/>
    <w:lvl w:ilvl="0" w:tplc="8152C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B12CA2"/>
    <w:multiLevelType w:val="hybridMultilevel"/>
    <w:tmpl w:val="56602EEE"/>
    <w:lvl w:ilvl="0" w:tplc="C51069EE">
      <w:start w:val="1"/>
      <w:numFmt w:val="upperLetter"/>
      <w:lvlText w:val="%1."/>
      <w:lvlJc w:val="left"/>
      <w:pPr>
        <w:ind w:left="840" w:hanging="360"/>
      </w:pPr>
      <w:rPr>
        <w:rFonts w:eastAsia="Times New Roman" w:hint="default"/>
        <w:b/>
        <w:color w:val="0563C1" w:themeColor="hyperlink"/>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53813B92"/>
    <w:multiLevelType w:val="hybridMultilevel"/>
    <w:tmpl w:val="08EEE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74284C"/>
    <w:multiLevelType w:val="hybridMultilevel"/>
    <w:tmpl w:val="5ED80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A56A41"/>
    <w:multiLevelType w:val="hybridMultilevel"/>
    <w:tmpl w:val="8EDAEA58"/>
    <w:lvl w:ilvl="0" w:tplc="036A6A94">
      <w:start w:val="4"/>
      <w:numFmt w:val="decimal"/>
      <w:lvlText w:val="%1."/>
      <w:lvlJc w:val="left"/>
      <w:pPr>
        <w:ind w:left="2880" w:hanging="360"/>
      </w:pPr>
      <w:rPr>
        <w:rFonts w:hint="default"/>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59D57F15"/>
    <w:multiLevelType w:val="hybridMultilevel"/>
    <w:tmpl w:val="FFFFFFFF"/>
    <w:lvl w:ilvl="0" w:tplc="59101B2E">
      <w:start w:val="1"/>
      <w:numFmt w:val="upperRoman"/>
      <w:lvlText w:val="%1."/>
      <w:lvlJc w:val="left"/>
      <w:pPr>
        <w:ind w:left="720" w:hanging="360"/>
      </w:pPr>
    </w:lvl>
    <w:lvl w:ilvl="1" w:tplc="04A45A6C">
      <w:start w:val="1"/>
      <w:numFmt w:val="lowerLetter"/>
      <w:lvlText w:val="%2."/>
      <w:lvlJc w:val="left"/>
      <w:pPr>
        <w:ind w:left="1440" w:hanging="360"/>
      </w:pPr>
    </w:lvl>
    <w:lvl w:ilvl="2" w:tplc="3F7CD642">
      <w:start w:val="1"/>
      <w:numFmt w:val="lowerRoman"/>
      <w:lvlText w:val="%3."/>
      <w:lvlJc w:val="right"/>
      <w:pPr>
        <w:ind w:left="2160" w:hanging="180"/>
      </w:pPr>
    </w:lvl>
    <w:lvl w:ilvl="3" w:tplc="3AB208AC">
      <w:start w:val="1"/>
      <w:numFmt w:val="decimal"/>
      <w:lvlText w:val="%4."/>
      <w:lvlJc w:val="left"/>
      <w:pPr>
        <w:ind w:left="2880" w:hanging="360"/>
      </w:pPr>
    </w:lvl>
    <w:lvl w:ilvl="4" w:tplc="F21EFCC4">
      <w:start w:val="1"/>
      <w:numFmt w:val="lowerLetter"/>
      <w:lvlText w:val="%5."/>
      <w:lvlJc w:val="left"/>
      <w:pPr>
        <w:ind w:left="3600" w:hanging="360"/>
      </w:pPr>
    </w:lvl>
    <w:lvl w:ilvl="5" w:tplc="90E40D8A">
      <w:start w:val="1"/>
      <w:numFmt w:val="lowerRoman"/>
      <w:lvlText w:val="%6."/>
      <w:lvlJc w:val="right"/>
      <w:pPr>
        <w:ind w:left="4320" w:hanging="180"/>
      </w:pPr>
    </w:lvl>
    <w:lvl w:ilvl="6" w:tplc="A7E0B96E">
      <w:start w:val="1"/>
      <w:numFmt w:val="decimal"/>
      <w:lvlText w:val="%7."/>
      <w:lvlJc w:val="left"/>
      <w:pPr>
        <w:ind w:left="5040" w:hanging="360"/>
      </w:pPr>
    </w:lvl>
    <w:lvl w:ilvl="7" w:tplc="4D8EC898">
      <w:start w:val="1"/>
      <w:numFmt w:val="lowerLetter"/>
      <w:lvlText w:val="%8."/>
      <w:lvlJc w:val="left"/>
      <w:pPr>
        <w:ind w:left="5760" w:hanging="360"/>
      </w:pPr>
    </w:lvl>
    <w:lvl w:ilvl="8" w:tplc="0A060BF6">
      <w:start w:val="1"/>
      <w:numFmt w:val="lowerRoman"/>
      <w:lvlText w:val="%9."/>
      <w:lvlJc w:val="right"/>
      <w:pPr>
        <w:ind w:left="6480" w:hanging="180"/>
      </w:pPr>
    </w:lvl>
  </w:abstractNum>
  <w:abstractNum w:abstractNumId="30" w15:restartNumberingAfterBreak="0">
    <w:nsid w:val="5A7454E4"/>
    <w:multiLevelType w:val="hybridMultilevel"/>
    <w:tmpl w:val="E91C92A2"/>
    <w:lvl w:ilvl="0" w:tplc="BB8EC7F4">
      <w:start w:val="1"/>
      <w:numFmt w:val="upperRoman"/>
      <w:lvlText w:val="%1."/>
      <w:lvlJc w:val="left"/>
      <w:pPr>
        <w:ind w:left="720" w:hanging="360"/>
      </w:pPr>
      <w:rPr>
        <w:rFonts w:ascii="Times New Roman" w:hAnsi="Times New Roman" w:cs="Times New Roman" w:hint="default"/>
        <w:b/>
        <w:bCs/>
      </w:rPr>
    </w:lvl>
    <w:lvl w:ilvl="1" w:tplc="C6E289D8">
      <w:start w:val="1"/>
      <w:numFmt w:val="lowerLetter"/>
      <w:lvlText w:val="%2."/>
      <w:lvlJc w:val="left"/>
      <w:pPr>
        <w:ind w:left="1440" w:hanging="360"/>
      </w:pPr>
    </w:lvl>
    <w:lvl w:ilvl="2" w:tplc="96E69EEA">
      <w:start w:val="1"/>
      <w:numFmt w:val="lowerRoman"/>
      <w:lvlText w:val="%3."/>
      <w:lvlJc w:val="right"/>
      <w:pPr>
        <w:ind w:left="2160" w:hanging="180"/>
      </w:pPr>
    </w:lvl>
    <w:lvl w:ilvl="3" w:tplc="2674B4D0">
      <w:start w:val="1"/>
      <w:numFmt w:val="decimal"/>
      <w:lvlText w:val="%4."/>
      <w:lvlJc w:val="left"/>
      <w:pPr>
        <w:ind w:left="2880" w:hanging="360"/>
      </w:pPr>
    </w:lvl>
    <w:lvl w:ilvl="4" w:tplc="17103F8C">
      <w:start w:val="1"/>
      <w:numFmt w:val="lowerLetter"/>
      <w:lvlText w:val="%5."/>
      <w:lvlJc w:val="left"/>
      <w:pPr>
        <w:ind w:left="3600" w:hanging="360"/>
      </w:pPr>
    </w:lvl>
    <w:lvl w:ilvl="5" w:tplc="5D82AAA6">
      <w:start w:val="1"/>
      <w:numFmt w:val="lowerRoman"/>
      <w:lvlText w:val="%6."/>
      <w:lvlJc w:val="right"/>
      <w:pPr>
        <w:ind w:left="4320" w:hanging="180"/>
      </w:pPr>
    </w:lvl>
    <w:lvl w:ilvl="6" w:tplc="1BFC06E8">
      <w:start w:val="1"/>
      <w:numFmt w:val="decimal"/>
      <w:lvlText w:val="%7."/>
      <w:lvlJc w:val="left"/>
      <w:pPr>
        <w:ind w:left="5040" w:hanging="360"/>
      </w:pPr>
    </w:lvl>
    <w:lvl w:ilvl="7" w:tplc="736456EE">
      <w:start w:val="1"/>
      <w:numFmt w:val="lowerLetter"/>
      <w:lvlText w:val="%8."/>
      <w:lvlJc w:val="left"/>
      <w:pPr>
        <w:ind w:left="5760" w:hanging="360"/>
      </w:pPr>
    </w:lvl>
    <w:lvl w:ilvl="8" w:tplc="4CDCE596">
      <w:start w:val="1"/>
      <w:numFmt w:val="lowerRoman"/>
      <w:lvlText w:val="%9."/>
      <w:lvlJc w:val="right"/>
      <w:pPr>
        <w:ind w:left="6480" w:hanging="180"/>
      </w:pPr>
    </w:lvl>
  </w:abstractNum>
  <w:abstractNum w:abstractNumId="31" w15:restartNumberingAfterBreak="0">
    <w:nsid w:val="5ABC22E7"/>
    <w:multiLevelType w:val="hybridMultilevel"/>
    <w:tmpl w:val="AF084A9E"/>
    <w:lvl w:ilvl="0" w:tplc="E2B001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111698"/>
    <w:multiLevelType w:val="hybridMultilevel"/>
    <w:tmpl w:val="23C8392A"/>
    <w:lvl w:ilvl="0" w:tplc="8E20DC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FB33245"/>
    <w:multiLevelType w:val="hybridMultilevel"/>
    <w:tmpl w:val="4A42202E"/>
    <w:lvl w:ilvl="0" w:tplc="033A3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AF60F1"/>
    <w:multiLevelType w:val="hybridMultilevel"/>
    <w:tmpl w:val="9A52BC36"/>
    <w:lvl w:ilvl="0" w:tplc="CB4A87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845153"/>
    <w:multiLevelType w:val="hybridMultilevel"/>
    <w:tmpl w:val="FFFFFFFF"/>
    <w:lvl w:ilvl="0" w:tplc="53D0ABEE">
      <w:start w:val="1"/>
      <w:numFmt w:val="bullet"/>
      <w:lvlText w:val=""/>
      <w:lvlJc w:val="left"/>
      <w:pPr>
        <w:ind w:left="720" w:hanging="360"/>
      </w:pPr>
      <w:rPr>
        <w:rFonts w:ascii="Symbol" w:hAnsi="Symbol" w:hint="default"/>
      </w:rPr>
    </w:lvl>
    <w:lvl w:ilvl="1" w:tplc="696E3DBC">
      <w:start w:val="1"/>
      <w:numFmt w:val="bullet"/>
      <w:lvlText w:val=""/>
      <w:lvlJc w:val="left"/>
      <w:pPr>
        <w:ind w:left="1440" w:hanging="360"/>
      </w:pPr>
      <w:rPr>
        <w:rFonts w:ascii="Symbol" w:hAnsi="Symbol" w:hint="default"/>
      </w:rPr>
    </w:lvl>
    <w:lvl w:ilvl="2" w:tplc="E8A6D04C">
      <w:start w:val="1"/>
      <w:numFmt w:val="bullet"/>
      <w:lvlText w:val=""/>
      <w:lvlJc w:val="left"/>
      <w:pPr>
        <w:ind w:left="2160" w:hanging="360"/>
      </w:pPr>
      <w:rPr>
        <w:rFonts w:ascii="Wingdings" w:hAnsi="Wingdings" w:hint="default"/>
      </w:rPr>
    </w:lvl>
    <w:lvl w:ilvl="3" w:tplc="8570888E">
      <w:start w:val="1"/>
      <w:numFmt w:val="bullet"/>
      <w:lvlText w:val=""/>
      <w:lvlJc w:val="left"/>
      <w:pPr>
        <w:ind w:left="2880" w:hanging="360"/>
      </w:pPr>
      <w:rPr>
        <w:rFonts w:ascii="Symbol" w:hAnsi="Symbol" w:hint="default"/>
      </w:rPr>
    </w:lvl>
    <w:lvl w:ilvl="4" w:tplc="19760C78">
      <w:start w:val="1"/>
      <w:numFmt w:val="bullet"/>
      <w:lvlText w:val="o"/>
      <w:lvlJc w:val="left"/>
      <w:pPr>
        <w:ind w:left="3600" w:hanging="360"/>
      </w:pPr>
      <w:rPr>
        <w:rFonts w:ascii="Courier New" w:hAnsi="Courier New" w:hint="default"/>
      </w:rPr>
    </w:lvl>
    <w:lvl w:ilvl="5" w:tplc="DC60E98A">
      <w:start w:val="1"/>
      <w:numFmt w:val="bullet"/>
      <w:lvlText w:val=""/>
      <w:lvlJc w:val="left"/>
      <w:pPr>
        <w:ind w:left="4320" w:hanging="360"/>
      </w:pPr>
      <w:rPr>
        <w:rFonts w:ascii="Wingdings" w:hAnsi="Wingdings" w:hint="default"/>
      </w:rPr>
    </w:lvl>
    <w:lvl w:ilvl="6" w:tplc="041E3940">
      <w:start w:val="1"/>
      <w:numFmt w:val="bullet"/>
      <w:lvlText w:val=""/>
      <w:lvlJc w:val="left"/>
      <w:pPr>
        <w:ind w:left="5040" w:hanging="360"/>
      </w:pPr>
      <w:rPr>
        <w:rFonts w:ascii="Symbol" w:hAnsi="Symbol" w:hint="default"/>
      </w:rPr>
    </w:lvl>
    <w:lvl w:ilvl="7" w:tplc="ADDC7EFE">
      <w:start w:val="1"/>
      <w:numFmt w:val="bullet"/>
      <w:lvlText w:val="o"/>
      <w:lvlJc w:val="left"/>
      <w:pPr>
        <w:ind w:left="5760" w:hanging="360"/>
      </w:pPr>
      <w:rPr>
        <w:rFonts w:ascii="Courier New" w:hAnsi="Courier New" w:hint="default"/>
      </w:rPr>
    </w:lvl>
    <w:lvl w:ilvl="8" w:tplc="376A445E">
      <w:start w:val="1"/>
      <w:numFmt w:val="bullet"/>
      <w:lvlText w:val=""/>
      <w:lvlJc w:val="left"/>
      <w:pPr>
        <w:ind w:left="6480" w:hanging="360"/>
      </w:pPr>
      <w:rPr>
        <w:rFonts w:ascii="Wingdings" w:hAnsi="Wingdings" w:hint="default"/>
      </w:rPr>
    </w:lvl>
  </w:abstractNum>
  <w:abstractNum w:abstractNumId="36" w15:restartNumberingAfterBreak="0">
    <w:nsid w:val="62A932BE"/>
    <w:multiLevelType w:val="hybridMultilevel"/>
    <w:tmpl w:val="DA2A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B31789"/>
    <w:multiLevelType w:val="hybridMultilevel"/>
    <w:tmpl w:val="E4C63486"/>
    <w:lvl w:ilvl="0" w:tplc="5A3E8E7E">
      <w:start w:val="1"/>
      <w:numFmt w:val="decimal"/>
      <w:lvlText w:val="%1."/>
      <w:lvlJc w:val="left"/>
      <w:pPr>
        <w:ind w:left="720" w:hanging="360"/>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642A3E"/>
    <w:multiLevelType w:val="hybridMultilevel"/>
    <w:tmpl w:val="7DE2D4EE"/>
    <w:lvl w:ilvl="0" w:tplc="08364F88">
      <w:start w:val="1"/>
      <w:numFmt w:val="upperRoman"/>
      <w:lvlText w:val="%1."/>
      <w:lvlJc w:val="left"/>
      <w:pPr>
        <w:ind w:left="1080" w:hanging="720"/>
      </w:pPr>
      <w:rPr>
        <w:rFonts w:eastAsia="Times" w:hint="default"/>
        <w:b/>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5C0457"/>
    <w:multiLevelType w:val="hybridMultilevel"/>
    <w:tmpl w:val="7E4456B4"/>
    <w:lvl w:ilvl="0" w:tplc="703E7EC2">
      <w:start w:val="1"/>
      <w:numFmt w:val="upperLetter"/>
      <w:lvlText w:val="%1."/>
      <w:lvlJc w:val="left"/>
      <w:pPr>
        <w:ind w:left="600" w:hanging="360"/>
      </w:pPr>
      <w:rPr>
        <w:rFonts w:eastAsia="Times New Roman" w:hint="default"/>
        <w:b/>
        <w:color w:val="0563C1" w:themeColor="hyperlink"/>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0" w15:restartNumberingAfterBreak="0">
    <w:nsid w:val="75550AB3"/>
    <w:multiLevelType w:val="hybridMultilevel"/>
    <w:tmpl w:val="3580C264"/>
    <w:lvl w:ilvl="0" w:tplc="E51642FC">
      <w:start w:val="1"/>
      <w:numFmt w:val="upperRoman"/>
      <w:lvlText w:val="%1."/>
      <w:lvlJc w:val="left"/>
      <w:pPr>
        <w:ind w:left="1080" w:hanging="720"/>
      </w:pPr>
      <w:rPr>
        <w:rFonts w:eastAsia="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AF6FC7"/>
    <w:multiLevelType w:val="hybridMultilevel"/>
    <w:tmpl w:val="CC349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D46D36"/>
    <w:multiLevelType w:val="hybridMultilevel"/>
    <w:tmpl w:val="F6C47DAA"/>
    <w:lvl w:ilvl="0" w:tplc="C6E289D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AB8"/>
    <w:multiLevelType w:val="hybridMultilevel"/>
    <w:tmpl w:val="72B8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DE46B2"/>
    <w:multiLevelType w:val="hybridMultilevel"/>
    <w:tmpl w:val="F272B998"/>
    <w:lvl w:ilvl="0" w:tplc="8676F632">
      <w:start w:val="1"/>
      <w:numFmt w:val="upperLetter"/>
      <w:lvlText w:val="%1."/>
      <w:lvlJc w:val="left"/>
      <w:pPr>
        <w:ind w:left="1080" w:hanging="360"/>
      </w:pPr>
      <w:rPr>
        <w:rFonts w:hint="default"/>
        <w:b/>
        <w:bCs/>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A656B9"/>
    <w:multiLevelType w:val="hybridMultilevel"/>
    <w:tmpl w:val="A3186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912039648">
    <w:abstractNumId w:val="26"/>
  </w:num>
  <w:num w:numId="2" w16cid:durableId="435566567">
    <w:abstractNumId w:val="36"/>
  </w:num>
  <w:num w:numId="3" w16cid:durableId="1426878880">
    <w:abstractNumId w:val="11"/>
  </w:num>
  <w:num w:numId="4" w16cid:durableId="1236285668">
    <w:abstractNumId w:val="43"/>
  </w:num>
  <w:num w:numId="5" w16cid:durableId="1376733340">
    <w:abstractNumId w:val="19"/>
  </w:num>
  <w:num w:numId="6" w16cid:durableId="1254314720">
    <w:abstractNumId w:val="13"/>
  </w:num>
  <w:num w:numId="7" w16cid:durableId="699478853">
    <w:abstractNumId w:val="9"/>
  </w:num>
  <w:num w:numId="8" w16cid:durableId="530849306">
    <w:abstractNumId w:val="5"/>
  </w:num>
  <w:num w:numId="9" w16cid:durableId="197088626">
    <w:abstractNumId w:val="29"/>
  </w:num>
  <w:num w:numId="10" w16cid:durableId="1024288591">
    <w:abstractNumId w:val="16"/>
  </w:num>
  <w:num w:numId="11" w16cid:durableId="308556527">
    <w:abstractNumId w:val="30"/>
  </w:num>
  <w:num w:numId="12" w16cid:durableId="795679663">
    <w:abstractNumId w:val="34"/>
  </w:num>
  <w:num w:numId="13" w16cid:durableId="1090007051">
    <w:abstractNumId w:val="22"/>
  </w:num>
  <w:num w:numId="14" w16cid:durableId="1470174395">
    <w:abstractNumId w:val="0"/>
  </w:num>
  <w:num w:numId="15" w16cid:durableId="131756482">
    <w:abstractNumId w:val="35"/>
  </w:num>
  <w:num w:numId="16" w16cid:durableId="1604923097">
    <w:abstractNumId w:val="1"/>
  </w:num>
  <w:num w:numId="17" w16cid:durableId="1673603601">
    <w:abstractNumId w:val="45"/>
  </w:num>
  <w:num w:numId="18" w16cid:durableId="697003122">
    <w:abstractNumId w:val="21"/>
  </w:num>
  <w:num w:numId="19" w16cid:durableId="548149631">
    <w:abstractNumId w:val="32"/>
  </w:num>
  <w:num w:numId="20" w16cid:durableId="218519696">
    <w:abstractNumId w:val="12"/>
  </w:num>
  <w:num w:numId="21" w16cid:durableId="743180865">
    <w:abstractNumId w:val="28"/>
  </w:num>
  <w:num w:numId="22" w16cid:durableId="90470240">
    <w:abstractNumId w:val="17"/>
  </w:num>
  <w:num w:numId="23" w16cid:durableId="2128038134">
    <w:abstractNumId w:val="24"/>
  </w:num>
  <w:num w:numId="24" w16cid:durableId="928781124">
    <w:abstractNumId w:val="42"/>
  </w:num>
  <w:num w:numId="25" w16cid:durableId="1181049026">
    <w:abstractNumId w:val="3"/>
  </w:num>
  <w:num w:numId="26" w16cid:durableId="1303654312">
    <w:abstractNumId w:val="20"/>
  </w:num>
  <w:num w:numId="27" w16cid:durableId="518275145">
    <w:abstractNumId w:val="31"/>
  </w:num>
  <w:num w:numId="28" w16cid:durableId="1339650450">
    <w:abstractNumId w:val="37"/>
  </w:num>
  <w:num w:numId="29" w16cid:durableId="749619281">
    <w:abstractNumId w:val="6"/>
  </w:num>
  <w:num w:numId="30" w16cid:durableId="1553081154">
    <w:abstractNumId w:val="40"/>
  </w:num>
  <w:num w:numId="31" w16cid:durableId="1295985897">
    <w:abstractNumId w:val="2"/>
  </w:num>
  <w:num w:numId="32" w16cid:durableId="509955435">
    <w:abstractNumId w:val="23"/>
  </w:num>
  <w:num w:numId="33" w16cid:durableId="1032343724">
    <w:abstractNumId w:val="44"/>
  </w:num>
  <w:num w:numId="34" w16cid:durableId="278343321">
    <w:abstractNumId w:val="7"/>
  </w:num>
  <w:num w:numId="35" w16cid:durableId="1623002260">
    <w:abstractNumId w:val="18"/>
  </w:num>
  <w:num w:numId="36" w16cid:durableId="1335912615">
    <w:abstractNumId w:val="14"/>
  </w:num>
  <w:num w:numId="37" w16cid:durableId="140854154">
    <w:abstractNumId w:val="39"/>
  </w:num>
  <w:num w:numId="38" w16cid:durableId="801773990">
    <w:abstractNumId w:val="15"/>
  </w:num>
  <w:num w:numId="39" w16cid:durableId="225340904">
    <w:abstractNumId w:val="10"/>
  </w:num>
  <w:num w:numId="40" w16cid:durableId="979774303">
    <w:abstractNumId w:val="33"/>
  </w:num>
  <w:num w:numId="41" w16cid:durableId="1537935473">
    <w:abstractNumId w:val="38"/>
  </w:num>
  <w:num w:numId="42" w16cid:durableId="318845543">
    <w:abstractNumId w:val="25"/>
  </w:num>
  <w:num w:numId="43" w16cid:durableId="1255092082">
    <w:abstractNumId w:val="4"/>
  </w:num>
  <w:num w:numId="44" w16cid:durableId="895237577">
    <w:abstractNumId w:val="8"/>
  </w:num>
  <w:num w:numId="45" w16cid:durableId="1286621277">
    <w:abstractNumId w:val="27"/>
  </w:num>
  <w:num w:numId="46" w16cid:durableId="16276605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CE"/>
    <w:rsid w:val="00005004"/>
    <w:rsid w:val="000225C2"/>
    <w:rsid w:val="00035105"/>
    <w:rsid w:val="00037A23"/>
    <w:rsid w:val="00043239"/>
    <w:rsid w:val="00054ADC"/>
    <w:rsid w:val="0006437D"/>
    <w:rsid w:val="00070EC1"/>
    <w:rsid w:val="00075502"/>
    <w:rsid w:val="00081370"/>
    <w:rsid w:val="000857A0"/>
    <w:rsid w:val="0009583E"/>
    <w:rsid w:val="00096C1F"/>
    <w:rsid w:val="0009737E"/>
    <w:rsid w:val="000A3347"/>
    <w:rsid w:val="000B38AD"/>
    <w:rsid w:val="000B7371"/>
    <w:rsid w:val="000C3DBF"/>
    <w:rsid w:val="000C61E7"/>
    <w:rsid w:val="000D3C7D"/>
    <w:rsid w:val="000E13DA"/>
    <w:rsid w:val="000F0A04"/>
    <w:rsid w:val="000F454C"/>
    <w:rsid w:val="000F58D4"/>
    <w:rsid w:val="00104926"/>
    <w:rsid w:val="001051D0"/>
    <w:rsid w:val="0011247F"/>
    <w:rsid w:val="0011317C"/>
    <w:rsid w:val="00124FDE"/>
    <w:rsid w:val="00126BAA"/>
    <w:rsid w:val="00126D86"/>
    <w:rsid w:val="00127152"/>
    <w:rsid w:val="00131328"/>
    <w:rsid w:val="00143A37"/>
    <w:rsid w:val="00146F34"/>
    <w:rsid w:val="0015166F"/>
    <w:rsid w:val="0015632E"/>
    <w:rsid w:val="00161B45"/>
    <w:rsid w:val="00164393"/>
    <w:rsid w:val="00174186"/>
    <w:rsid w:val="001751E2"/>
    <w:rsid w:val="0018320E"/>
    <w:rsid w:val="00197534"/>
    <w:rsid w:val="00197706"/>
    <w:rsid w:val="001A5985"/>
    <w:rsid w:val="001B47F8"/>
    <w:rsid w:val="001B517F"/>
    <w:rsid w:val="001C6142"/>
    <w:rsid w:val="001C7C2E"/>
    <w:rsid w:val="001D1969"/>
    <w:rsid w:val="001E0EB5"/>
    <w:rsid w:val="001F1608"/>
    <w:rsid w:val="001F2C00"/>
    <w:rsid w:val="001F5BFD"/>
    <w:rsid w:val="001F73A6"/>
    <w:rsid w:val="0020118A"/>
    <w:rsid w:val="002074DD"/>
    <w:rsid w:val="002107B5"/>
    <w:rsid w:val="00213196"/>
    <w:rsid w:val="00222522"/>
    <w:rsid w:val="00244C9F"/>
    <w:rsid w:val="00250153"/>
    <w:rsid w:val="00250623"/>
    <w:rsid w:val="00255FA3"/>
    <w:rsid w:val="0026146F"/>
    <w:rsid w:val="00261998"/>
    <w:rsid w:val="00264380"/>
    <w:rsid w:val="00264AE4"/>
    <w:rsid w:val="00266216"/>
    <w:rsid w:val="00270619"/>
    <w:rsid w:val="00274C83"/>
    <w:rsid w:val="002851BE"/>
    <w:rsid w:val="00286A91"/>
    <w:rsid w:val="00291C3E"/>
    <w:rsid w:val="00293D45"/>
    <w:rsid w:val="0029462E"/>
    <w:rsid w:val="00295DAB"/>
    <w:rsid w:val="00295F99"/>
    <w:rsid w:val="002B134C"/>
    <w:rsid w:val="002C20DF"/>
    <w:rsid w:val="002C7577"/>
    <w:rsid w:val="002D2929"/>
    <w:rsid w:val="002D52E8"/>
    <w:rsid w:val="002E458B"/>
    <w:rsid w:val="002E7733"/>
    <w:rsid w:val="002F0922"/>
    <w:rsid w:val="002F524C"/>
    <w:rsid w:val="002F59FA"/>
    <w:rsid w:val="00300432"/>
    <w:rsid w:val="00305867"/>
    <w:rsid w:val="00305F37"/>
    <w:rsid w:val="00315567"/>
    <w:rsid w:val="0031754B"/>
    <w:rsid w:val="00323207"/>
    <w:rsid w:val="003332D9"/>
    <w:rsid w:val="00343880"/>
    <w:rsid w:val="00344829"/>
    <w:rsid w:val="00344BB5"/>
    <w:rsid w:val="003470F0"/>
    <w:rsid w:val="00356343"/>
    <w:rsid w:val="00361298"/>
    <w:rsid w:val="003658C8"/>
    <w:rsid w:val="0036705E"/>
    <w:rsid w:val="00367D68"/>
    <w:rsid w:val="00370E61"/>
    <w:rsid w:val="00372F11"/>
    <w:rsid w:val="00385690"/>
    <w:rsid w:val="00386B29"/>
    <w:rsid w:val="00386E0C"/>
    <w:rsid w:val="003875DD"/>
    <w:rsid w:val="00390712"/>
    <w:rsid w:val="00393AC2"/>
    <w:rsid w:val="00396BE4"/>
    <w:rsid w:val="003A1406"/>
    <w:rsid w:val="003A1AB4"/>
    <w:rsid w:val="003B3278"/>
    <w:rsid w:val="003B686D"/>
    <w:rsid w:val="003C269F"/>
    <w:rsid w:val="003C28F8"/>
    <w:rsid w:val="003D474F"/>
    <w:rsid w:val="003E2229"/>
    <w:rsid w:val="003E2A80"/>
    <w:rsid w:val="003E615F"/>
    <w:rsid w:val="003F11E4"/>
    <w:rsid w:val="003F3170"/>
    <w:rsid w:val="00411465"/>
    <w:rsid w:val="00413323"/>
    <w:rsid w:val="00420C20"/>
    <w:rsid w:val="00420D0E"/>
    <w:rsid w:val="00431604"/>
    <w:rsid w:val="004350F3"/>
    <w:rsid w:val="00442D5A"/>
    <w:rsid w:val="00446F3C"/>
    <w:rsid w:val="00450D9F"/>
    <w:rsid w:val="00462828"/>
    <w:rsid w:val="00465A50"/>
    <w:rsid w:val="0047471A"/>
    <w:rsid w:val="00474732"/>
    <w:rsid w:val="00477A34"/>
    <w:rsid w:val="00482ACB"/>
    <w:rsid w:val="00487D95"/>
    <w:rsid w:val="00492099"/>
    <w:rsid w:val="00496507"/>
    <w:rsid w:val="00497CEC"/>
    <w:rsid w:val="004A4453"/>
    <w:rsid w:val="004A52B6"/>
    <w:rsid w:val="004B21B6"/>
    <w:rsid w:val="004B59B1"/>
    <w:rsid w:val="004C08A9"/>
    <w:rsid w:val="004C0ED3"/>
    <w:rsid w:val="004C188A"/>
    <w:rsid w:val="004D5003"/>
    <w:rsid w:val="004D6D88"/>
    <w:rsid w:val="004E19E7"/>
    <w:rsid w:val="004E5F5A"/>
    <w:rsid w:val="004E681B"/>
    <w:rsid w:val="004F1068"/>
    <w:rsid w:val="00504F57"/>
    <w:rsid w:val="00520B5D"/>
    <w:rsid w:val="00521E1F"/>
    <w:rsid w:val="005352CD"/>
    <w:rsid w:val="00550153"/>
    <w:rsid w:val="00551408"/>
    <w:rsid w:val="0055358C"/>
    <w:rsid w:val="00553EE6"/>
    <w:rsid w:val="00554EFF"/>
    <w:rsid w:val="00567E13"/>
    <w:rsid w:val="00584728"/>
    <w:rsid w:val="005877E0"/>
    <w:rsid w:val="005A2199"/>
    <w:rsid w:val="005A21E5"/>
    <w:rsid w:val="005A2F14"/>
    <w:rsid w:val="005A5BE1"/>
    <w:rsid w:val="005A64DE"/>
    <w:rsid w:val="005B3BBA"/>
    <w:rsid w:val="005C4B51"/>
    <w:rsid w:val="005D0EF9"/>
    <w:rsid w:val="005D17EC"/>
    <w:rsid w:val="005D261C"/>
    <w:rsid w:val="005D35BC"/>
    <w:rsid w:val="005D4FA5"/>
    <w:rsid w:val="005E0126"/>
    <w:rsid w:val="005E499B"/>
    <w:rsid w:val="005E635B"/>
    <w:rsid w:val="005E7995"/>
    <w:rsid w:val="005F40ED"/>
    <w:rsid w:val="005F526B"/>
    <w:rsid w:val="005F6998"/>
    <w:rsid w:val="005F7D18"/>
    <w:rsid w:val="006020A1"/>
    <w:rsid w:val="00607E8E"/>
    <w:rsid w:val="006126DF"/>
    <w:rsid w:val="006152D5"/>
    <w:rsid w:val="00621EAC"/>
    <w:rsid w:val="00622C7F"/>
    <w:rsid w:val="00623D87"/>
    <w:rsid w:val="0063410E"/>
    <w:rsid w:val="006365BC"/>
    <w:rsid w:val="00636E15"/>
    <w:rsid w:val="00640A4A"/>
    <w:rsid w:val="00643F89"/>
    <w:rsid w:val="0064474A"/>
    <w:rsid w:val="00646153"/>
    <w:rsid w:val="00655C1E"/>
    <w:rsid w:val="00656643"/>
    <w:rsid w:val="00663C1E"/>
    <w:rsid w:val="00664762"/>
    <w:rsid w:val="00690850"/>
    <w:rsid w:val="0069188C"/>
    <w:rsid w:val="0069370B"/>
    <w:rsid w:val="006A22CD"/>
    <w:rsid w:val="006B5B82"/>
    <w:rsid w:val="006B5EA1"/>
    <w:rsid w:val="006B7B93"/>
    <w:rsid w:val="006C5194"/>
    <w:rsid w:val="006D5EA4"/>
    <w:rsid w:val="006D7957"/>
    <w:rsid w:val="006E1626"/>
    <w:rsid w:val="006E17FB"/>
    <w:rsid w:val="006E1C18"/>
    <w:rsid w:val="006E2017"/>
    <w:rsid w:val="006F2AA6"/>
    <w:rsid w:val="00700A1F"/>
    <w:rsid w:val="00702563"/>
    <w:rsid w:val="00702DF0"/>
    <w:rsid w:val="00711017"/>
    <w:rsid w:val="00711923"/>
    <w:rsid w:val="00712F1D"/>
    <w:rsid w:val="007177E5"/>
    <w:rsid w:val="00731EB1"/>
    <w:rsid w:val="00733662"/>
    <w:rsid w:val="00736967"/>
    <w:rsid w:val="007422C5"/>
    <w:rsid w:val="00743AAB"/>
    <w:rsid w:val="007500C8"/>
    <w:rsid w:val="007567B7"/>
    <w:rsid w:val="007624DF"/>
    <w:rsid w:val="00773F75"/>
    <w:rsid w:val="00776DF2"/>
    <w:rsid w:val="00781CC8"/>
    <w:rsid w:val="00784314"/>
    <w:rsid w:val="00784DC5"/>
    <w:rsid w:val="007901F9"/>
    <w:rsid w:val="00792CE3"/>
    <w:rsid w:val="00795E68"/>
    <w:rsid w:val="00797E73"/>
    <w:rsid w:val="00797F82"/>
    <w:rsid w:val="007A1057"/>
    <w:rsid w:val="007A737E"/>
    <w:rsid w:val="007B0E8F"/>
    <w:rsid w:val="007B2698"/>
    <w:rsid w:val="007C2CA0"/>
    <w:rsid w:val="007D0C78"/>
    <w:rsid w:val="007D1A2E"/>
    <w:rsid w:val="007E7677"/>
    <w:rsid w:val="007E77EE"/>
    <w:rsid w:val="007F2808"/>
    <w:rsid w:val="007F796D"/>
    <w:rsid w:val="008007A8"/>
    <w:rsid w:val="00804361"/>
    <w:rsid w:val="00806582"/>
    <w:rsid w:val="008133D0"/>
    <w:rsid w:val="00813616"/>
    <w:rsid w:val="0081589B"/>
    <w:rsid w:val="0082559A"/>
    <w:rsid w:val="0083270E"/>
    <w:rsid w:val="008342DB"/>
    <w:rsid w:val="0083607E"/>
    <w:rsid w:val="00842848"/>
    <w:rsid w:val="00844FF3"/>
    <w:rsid w:val="008457FA"/>
    <w:rsid w:val="00845BE4"/>
    <w:rsid w:val="00846FE8"/>
    <w:rsid w:val="00850C38"/>
    <w:rsid w:val="00855F8A"/>
    <w:rsid w:val="00857D28"/>
    <w:rsid w:val="00872585"/>
    <w:rsid w:val="00874449"/>
    <w:rsid w:val="00875E6E"/>
    <w:rsid w:val="00877153"/>
    <w:rsid w:val="00877C7F"/>
    <w:rsid w:val="00880EB3"/>
    <w:rsid w:val="00881679"/>
    <w:rsid w:val="0088369F"/>
    <w:rsid w:val="008842AF"/>
    <w:rsid w:val="008925F7"/>
    <w:rsid w:val="008A32AB"/>
    <w:rsid w:val="008A352E"/>
    <w:rsid w:val="008B5959"/>
    <w:rsid w:val="008B63BA"/>
    <w:rsid w:val="008B7ACB"/>
    <w:rsid w:val="008C7943"/>
    <w:rsid w:val="008D7FBC"/>
    <w:rsid w:val="008E6862"/>
    <w:rsid w:val="008F0D3F"/>
    <w:rsid w:val="008F37B7"/>
    <w:rsid w:val="0090558C"/>
    <w:rsid w:val="00913115"/>
    <w:rsid w:val="00914660"/>
    <w:rsid w:val="00920350"/>
    <w:rsid w:val="0092132C"/>
    <w:rsid w:val="00936E91"/>
    <w:rsid w:val="00944E51"/>
    <w:rsid w:val="00945FEC"/>
    <w:rsid w:val="00960E6E"/>
    <w:rsid w:val="009619AE"/>
    <w:rsid w:val="0098169B"/>
    <w:rsid w:val="009823E1"/>
    <w:rsid w:val="009831E5"/>
    <w:rsid w:val="009878B1"/>
    <w:rsid w:val="0099146F"/>
    <w:rsid w:val="009961F9"/>
    <w:rsid w:val="009962DE"/>
    <w:rsid w:val="0099769C"/>
    <w:rsid w:val="009A61D9"/>
    <w:rsid w:val="009A7258"/>
    <w:rsid w:val="009B1BCC"/>
    <w:rsid w:val="009B5C50"/>
    <w:rsid w:val="009C3C59"/>
    <w:rsid w:val="009C47F2"/>
    <w:rsid w:val="009D6E8D"/>
    <w:rsid w:val="009E5F5D"/>
    <w:rsid w:val="009F0125"/>
    <w:rsid w:val="009F542B"/>
    <w:rsid w:val="009F666C"/>
    <w:rsid w:val="009F7FA8"/>
    <w:rsid w:val="00A02F91"/>
    <w:rsid w:val="00A03398"/>
    <w:rsid w:val="00A125D8"/>
    <w:rsid w:val="00A220CE"/>
    <w:rsid w:val="00A2657D"/>
    <w:rsid w:val="00A26A9C"/>
    <w:rsid w:val="00A275D7"/>
    <w:rsid w:val="00A32044"/>
    <w:rsid w:val="00A341F0"/>
    <w:rsid w:val="00A34607"/>
    <w:rsid w:val="00A44B0B"/>
    <w:rsid w:val="00A5296E"/>
    <w:rsid w:val="00A539AF"/>
    <w:rsid w:val="00A55801"/>
    <w:rsid w:val="00A56838"/>
    <w:rsid w:val="00A71396"/>
    <w:rsid w:val="00A71720"/>
    <w:rsid w:val="00A75370"/>
    <w:rsid w:val="00A76713"/>
    <w:rsid w:val="00A77B49"/>
    <w:rsid w:val="00A83A4E"/>
    <w:rsid w:val="00A84170"/>
    <w:rsid w:val="00A84C17"/>
    <w:rsid w:val="00A930BD"/>
    <w:rsid w:val="00A939C2"/>
    <w:rsid w:val="00AA68DB"/>
    <w:rsid w:val="00AA6E0F"/>
    <w:rsid w:val="00AB1B2D"/>
    <w:rsid w:val="00AB3E90"/>
    <w:rsid w:val="00AC17B6"/>
    <w:rsid w:val="00AD0B4C"/>
    <w:rsid w:val="00AD5282"/>
    <w:rsid w:val="00AD582F"/>
    <w:rsid w:val="00AE222F"/>
    <w:rsid w:val="00AF3815"/>
    <w:rsid w:val="00AF4166"/>
    <w:rsid w:val="00B04BE3"/>
    <w:rsid w:val="00B07576"/>
    <w:rsid w:val="00B07A3E"/>
    <w:rsid w:val="00B163A0"/>
    <w:rsid w:val="00B165F8"/>
    <w:rsid w:val="00B22AF7"/>
    <w:rsid w:val="00B23F7B"/>
    <w:rsid w:val="00B25655"/>
    <w:rsid w:val="00B261B4"/>
    <w:rsid w:val="00B35039"/>
    <w:rsid w:val="00B400D6"/>
    <w:rsid w:val="00B50215"/>
    <w:rsid w:val="00B53EA6"/>
    <w:rsid w:val="00B647E2"/>
    <w:rsid w:val="00B64AA4"/>
    <w:rsid w:val="00B71780"/>
    <w:rsid w:val="00B72116"/>
    <w:rsid w:val="00B76D6E"/>
    <w:rsid w:val="00B77645"/>
    <w:rsid w:val="00B80B97"/>
    <w:rsid w:val="00B815EC"/>
    <w:rsid w:val="00B914CA"/>
    <w:rsid w:val="00B92A20"/>
    <w:rsid w:val="00B93FA7"/>
    <w:rsid w:val="00B941F4"/>
    <w:rsid w:val="00B97E59"/>
    <w:rsid w:val="00BA37ED"/>
    <w:rsid w:val="00BA61E2"/>
    <w:rsid w:val="00BA77EF"/>
    <w:rsid w:val="00BB3E28"/>
    <w:rsid w:val="00BB4480"/>
    <w:rsid w:val="00BB7959"/>
    <w:rsid w:val="00BB799D"/>
    <w:rsid w:val="00BC1233"/>
    <w:rsid w:val="00BC1C09"/>
    <w:rsid w:val="00BC2A22"/>
    <w:rsid w:val="00BC4799"/>
    <w:rsid w:val="00BC75FE"/>
    <w:rsid w:val="00BD4C89"/>
    <w:rsid w:val="00BD55B5"/>
    <w:rsid w:val="00BE205E"/>
    <w:rsid w:val="00BE2264"/>
    <w:rsid w:val="00C13FE5"/>
    <w:rsid w:val="00C1561C"/>
    <w:rsid w:val="00C1736F"/>
    <w:rsid w:val="00C17490"/>
    <w:rsid w:val="00C260DC"/>
    <w:rsid w:val="00C261EA"/>
    <w:rsid w:val="00C319FA"/>
    <w:rsid w:val="00C32A4D"/>
    <w:rsid w:val="00C351D5"/>
    <w:rsid w:val="00C40EF3"/>
    <w:rsid w:val="00C44326"/>
    <w:rsid w:val="00C451F3"/>
    <w:rsid w:val="00C45224"/>
    <w:rsid w:val="00C5398B"/>
    <w:rsid w:val="00C57E5B"/>
    <w:rsid w:val="00C60CEF"/>
    <w:rsid w:val="00C62648"/>
    <w:rsid w:val="00C6306A"/>
    <w:rsid w:val="00C707E0"/>
    <w:rsid w:val="00C70CAA"/>
    <w:rsid w:val="00C909D3"/>
    <w:rsid w:val="00C95F35"/>
    <w:rsid w:val="00C96469"/>
    <w:rsid w:val="00C976D1"/>
    <w:rsid w:val="00C9799B"/>
    <w:rsid w:val="00CA0EED"/>
    <w:rsid w:val="00CA21F1"/>
    <w:rsid w:val="00CB3983"/>
    <w:rsid w:val="00CC0452"/>
    <w:rsid w:val="00CC6B74"/>
    <w:rsid w:val="00CE36FF"/>
    <w:rsid w:val="00CF1459"/>
    <w:rsid w:val="00CF4487"/>
    <w:rsid w:val="00CF47AB"/>
    <w:rsid w:val="00CF5F87"/>
    <w:rsid w:val="00CF7531"/>
    <w:rsid w:val="00CF7E83"/>
    <w:rsid w:val="00D0082F"/>
    <w:rsid w:val="00D02605"/>
    <w:rsid w:val="00D06256"/>
    <w:rsid w:val="00D069F6"/>
    <w:rsid w:val="00D074AB"/>
    <w:rsid w:val="00D10541"/>
    <w:rsid w:val="00D106D3"/>
    <w:rsid w:val="00D147B0"/>
    <w:rsid w:val="00D16DF9"/>
    <w:rsid w:val="00D238A6"/>
    <w:rsid w:val="00D31F3E"/>
    <w:rsid w:val="00D34AAD"/>
    <w:rsid w:val="00D42CAE"/>
    <w:rsid w:val="00D462EC"/>
    <w:rsid w:val="00D465CC"/>
    <w:rsid w:val="00D65284"/>
    <w:rsid w:val="00D670A5"/>
    <w:rsid w:val="00D70C86"/>
    <w:rsid w:val="00D77274"/>
    <w:rsid w:val="00D822AB"/>
    <w:rsid w:val="00D84C9E"/>
    <w:rsid w:val="00DB03F0"/>
    <w:rsid w:val="00DB36A5"/>
    <w:rsid w:val="00DB53F1"/>
    <w:rsid w:val="00DB57B5"/>
    <w:rsid w:val="00DC12EE"/>
    <w:rsid w:val="00DC7B52"/>
    <w:rsid w:val="00DD15A8"/>
    <w:rsid w:val="00DE0175"/>
    <w:rsid w:val="00DE5595"/>
    <w:rsid w:val="00DF2808"/>
    <w:rsid w:val="00DF3C75"/>
    <w:rsid w:val="00DF4CC4"/>
    <w:rsid w:val="00DF60D2"/>
    <w:rsid w:val="00E00BD6"/>
    <w:rsid w:val="00E03152"/>
    <w:rsid w:val="00E248AB"/>
    <w:rsid w:val="00E2556C"/>
    <w:rsid w:val="00E54C27"/>
    <w:rsid w:val="00E55BF6"/>
    <w:rsid w:val="00E578A5"/>
    <w:rsid w:val="00E6195A"/>
    <w:rsid w:val="00E64518"/>
    <w:rsid w:val="00E6585D"/>
    <w:rsid w:val="00E66DCE"/>
    <w:rsid w:val="00E76F1D"/>
    <w:rsid w:val="00E8545C"/>
    <w:rsid w:val="00E921B1"/>
    <w:rsid w:val="00EA32B3"/>
    <w:rsid w:val="00EA5D15"/>
    <w:rsid w:val="00EB3D8B"/>
    <w:rsid w:val="00EC26FF"/>
    <w:rsid w:val="00EC5D37"/>
    <w:rsid w:val="00EC7F43"/>
    <w:rsid w:val="00ED148D"/>
    <w:rsid w:val="00ED4D24"/>
    <w:rsid w:val="00EE1320"/>
    <w:rsid w:val="00EF0897"/>
    <w:rsid w:val="00EF30D3"/>
    <w:rsid w:val="00EF512D"/>
    <w:rsid w:val="00F0449E"/>
    <w:rsid w:val="00F044CD"/>
    <w:rsid w:val="00F152DC"/>
    <w:rsid w:val="00F15F85"/>
    <w:rsid w:val="00F17F8C"/>
    <w:rsid w:val="00F31D28"/>
    <w:rsid w:val="00F32330"/>
    <w:rsid w:val="00F41D5D"/>
    <w:rsid w:val="00F51BBA"/>
    <w:rsid w:val="00F53965"/>
    <w:rsid w:val="00F56BA9"/>
    <w:rsid w:val="00F57EBE"/>
    <w:rsid w:val="00F57F7D"/>
    <w:rsid w:val="00F613AD"/>
    <w:rsid w:val="00F659B0"/>
    <w:rsid w:val="00F667A7"/>
    <w:rsid w:val="00F843E6"/>
    <w:rsid w:val="00F86AB3"/>
    <w:rsid w:val="00F9011D"/>
    <w:rsid w:val="00F96420"/>
    <w:rsid w:val="00F966C9"/>
    <w:rsid w:val="00FA16A4"/>
    <w:rsid w:val="00FA5CCF"/>
    <w:rsid w:val="00FA7E78"/>
    <w:rsid w:val="00FB214F"/>
    <w:rsid w:val="00FB3BB6"/>
    <w:rsid w:val="00FB4EA6"/>
    <w:rsid w:val="00FB6718"/>
    <w:rsid w:val="00FC4C14"/>
    <w:rsid w:val="00FD7324"/>
    <w:rsid w:val="00FE321B"/>
    <w:rsid w:val="00FF13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133A0"/>
  <w15:chartTrackingRefBased/>
  <w15:docId w15:val="{6580DC91-EB4B-BF4E-8AD1-7F8134A3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DCE"/>
    <w:rPr>
      <w:kern w:val="0"/>
      <w14:ligatures w14:val="none"/>
    </w:rPr>
  </w:style>
  <w:style w:type="paragraph" w:styleId="Heading1">
    <w:name w:val="heading 1"/>
    <w:basedOn w:val="Normal"/>
    <w:next w:val="Normal"/>
    <w:link w:val="Heading1Char"/>
    <w:uiPriority w:val="9"/>
    <w:qFormat/>
    <w:rsid w:val="00E66D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6D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6DC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66DC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6DC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DC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66DC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E66DCE"/>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E66DCE"/>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E66DCE"/>
    <w:rPr>
      <w:rFonts w:asciiTheme="majorHAnsi" w:eastAsiaTheme="majorEastAsia" w:hAnsiTheme="majorHAnsi" w:cstheme="majorBidi"/>
      <w:color w:val="2F5496" w:themeColor="accent1" w:themeShade="BF"/>
      <w:kern w:val="0"/>
      <w14:ligatures w14:val="none"/>
    </w:rPr>
  </w:style>
  <w:style w:type="paragraph" w:styleId="FootnoteText">
    <w:name w:val="footnote text"/>
    <w:basedOn w:val="Normal"/>
    <w:link w:val="FootnoteTextChar"/>
    <w:uiPriority w:val="99"/>
    <w:unhideWhenUsed/>
    <w:rsid w:val="00E66DC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66DC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rsid w:val="00E66DCE"/>
    <w:rPr>
      <w:vertAlign w:val="superscript"/>
    </w:rPr>
  </w:style>
  <w:style w:type="paragraph" w:styleId="ListParagraph">
    <w:name w:val="List Paragraph"/>
    <w:basedOn w:val="Normal"/>
    <w:uiPriority w:val="34"/>
    <w:qFormat/>
    <w:rsid w:val="00E66DCE"/>
    <w:pPr>
      <w:ind w:left="720"/>
      <w:contextualSpacing/>
    </w:pPr>
  </w:style>
  <w:style w:type="paragraph" w:styleId="NormalWeb">
    <w:name w:val="Normal (Web)"/>
    <w:basedOn w:val="Normal"/>
    <w:uiPriority w:val="99"/>
    <w:unhideWhenUsed/>
    <w:rsid w:val="00E66DC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66DCE"/>
    <w:rPr>
      <w:b/>
      <w:bCs/>
    </w:rPr>
  </w:style>
  <w:style w:type="table" w:styleId="TableGrid">
    <w:name w:val="Table Grid"/>
    <w:basedOn w:val="TableNormal"/>
    <w:uiPriority w:val="59"/>
    <w:rsid w:val="00E66DC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6DCE"/>
    <w:pPr>
      <w:tabs>
        <w:tab w:val="center" w:pos="4680"/>
        <w:tab w:val="right" w:pos="9360"/>
      </w:tabs>
    </w:pPr>
  </w:style>
  <w:style w:type="character" w:customStyle="1" w:styleId="HeaderChar">
    <w:name w:val="Header Char"/>
    <w:basedOn w:val="DefaultParagraphFont"/>
    <w:link w:val="Header"/>
    <w:uiPriority w:val="99"/>
    <w:rsid w:val="00E66DCE"/>
    <w:rPr>
      <w:kern w:val="0"/>
      <w14:ligatures w14:val="none"/>
    </w:rPr>
  </w:style>
  <w:style w:type="paragraph" w:styleId="Footer">
    <w:name w:val="footer"/>
    <w:basedOn w:val="Normal"/>
    <w:link w:val="FooterChar"/>
    <w:uiPriority w:val="99"/>
    <w:unhideWhenUsed/>
    <w:rsid w:val="00E66DCE"/>
    <w:pPr>
      <w:tabs>
        <w:tab w:val="center" w:pos="4680"/>
        <w:tab w:val="right" w:pos="9360"/>
      </w:tabs>
    </w:pPr>
  </w:style>
  <w:style w:type="character" w:customStyle="1" w:styleId="FooterChar">
    <w:name w:val="Footer Char"/>
    <w:basedOn w:val="DefaultParagraphFont"/>
    <w:link w:val="Footer"/>
    <w:uiPriority w:val="99"/>
    <w:rsid w:val="00E66DCE"/>
    <w:rPr>
      <w:kern w:val="0"/>
      <w14:ligatures w14:val="none"/>
    </w:rPr>
  </w:style>
  <w:style w:type="character" w:styleId="CommentReference">
    <w:name w:val="annotation reference"/>
    <w:basedOn w:val="DefaultParagraphFont"/>
    <w:uiPriority w:val="99"/>
    <w:unhideWhenUsed/>
    <w:rsid w:val="00E66DCE"/>
    <w:rPr>
      <w:sz w:val="16"/>
      <w:szCs w:val="16"/>
    </w:rPr>
  </w:style>
  <w:style w:type="paragraph" w:styleId="CommentText">
    <w:name w:val="annotation text"/>
    <w:basedOn w:val="Normal"/>
    <w:link w:val="CommentTextChar"/>
    <w:uiPriority w:val="99"/>
    <w:unhideWhenUsed/>
    <w:rsid w:val="00E66DCE"/>
    <w:rPr>
      <w:sz w:val="20"/>
      <w:szCs w:val="20"/>
    </w:rPr>
  </w:style>
  <w:style w:type="character" w:customStyle="1" w:styleId="CommentTextChar">
    <w:name w:val="Comment Text Char"/>
    <w:basedOn w:val="DefaultParagraphFont"/>
    <w:link w:val="CommentText"/>
    <w:uiPriority w:val="99"/>
    <w:rsid w:val="00E66DC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66DCE"/>
    <w:rPr>
      <w:b/>
      <w:bCs/>
    </w:rPr>
  </w:style>
  <w:style w:type="character" w:customStyle="1" w:styleId="CommentSubjectChar">
    <w:name w:val="Comment Subject Char"/>
    <w:basedOn w:val="CommentTextChar"/>
    <w:link w:val="CommentSubject"/>
    <w:uiPriority w:val="99"/>
    <w:semiHidden/>
    <w:rsid w:val="00E66DCE"/>
    <w:rPr>
      <w:b/>
      <w:bCs/>
      <w:kern w:val="0"/>
      <w:sz w:val="20"/>
      <w:szCs w:val="20"/>
      <w14:ligatures w14:val="none"/>
    </w:rPr>
  </w:style>
  <w:style w:type="character" w:styleId="Hyperlink">
    <w:name w:val="Hyperlink"/>
    <w:basedOn w:val="DefaultParagraphFont"/>
    <w:uiPriority w:val="99"/>
    <w:unhideWhenUsed/>
    <w:rsid w:val="00E66DCE"/>
    <w:rPr>
      <w:color w:val="0563C1" w:themeColor="hyperlink"/>
      <w:u w:val="single"/>
    </w:rPr>
  </w:style>
  <w:style w:type="character" w:styleId="UnresolvedMention">
    <w:name w:val="Unresolved Mention"/>
    <w:basedOn w:val="DefaultParagraphFont"/>
    <w:uiPriority w:val="99"/>
    <w:unhideWhenUsed/>
    <w:rsid w:val="00E66DCE"/>
    <w:rPr>
      <w:color w:val="605E5C"/>
      <w:shd w:val="clear" w:color="auto" w:fill="E1DFDD"/>
    </w:rPr>
  </w:style>
  <w:style w:type="paragraph" w:styleId="Revision">
    <w:name w:val="Revision"/>
    <w:hidden/>
    <w:uiPriority w:val="99"/>
    <w:semiHidden/>
    <w:rsid w:val="00E66DCE"/>
    <w:rPr>
      <w:kern w:val="0"/>
      <w14:ligatures w14:val="none"/>
    </w:rPr>
  </w:style>
  <w:style w:type="paragraph" w:styleId="EndnoteText">
    <w:name w:val="endnote text"/>
    <w:basedOn w:val="Normal"/>
    <w:link w:val="EndnoteTextChar"/>
    <w:uiPriority w:val="99"/>
    <w:unhideWhenUsed/>
    <w:rsid w:val="00E66DCE"/>
    <w:rPr>
      <w:sz w:val="20"/>
      <w:szCs w:val="20"/>
    </w:rPr>
  </w:style>
  <w:style w:type="character" w:customStyle="1" w:styleId="EndnoteTextChar">
    <w:name w:val="Endnote Text Char"/>
    <w:basedOn w:val="DefaultParagraphFont"/>
    <w:link w:val="EndnoteText"/>
    <w:uiPriority w:val="99"/>
    <w:rsid w:val="00E66DCE"/>
    <w:rPr>
      <w:kern w:val="0"/>
      <w:sz w:val="20"/>
      <w:szCs w:val="20"/>
      <w14:ligatures w14:val="none"/>
    </w:rPr>
  </w:style>
  <w:style w:type="character" w:styleId="EndnoteReference">
    <w:name w:val="endnote reference"/>
    <w:basedOn w:val="DefaultParagraphFont"/>
    <w:uiPriority w:val="99"/>
    <w:unhideWhenUsed/>
    <w:rsid w:val="00E66DCE"/>
    <w:rPr>
      <w:vertAlign w:val="superscript"/>
    </w:rPr>
  </w:style>
  <w:style w:type="character" w:styleId="FollowedHyperlink">
    <w:name w:val="FollowedHyperlink"/>
    <w:basedOn w:val="DefaultParagraphFont"/>
    <w:uiPriority w:val="99"/>
    <w:semiHidden/>
    <w:unhideWhenUsed/>
    <w:rsid w:val="00E66DCE"/>
    <w:rPr>
      <w:color w:val="954F72" w:themeColor="followedHyperlink"/>
      <w:u w:val="single"/>
    </w:rPr>
  </w:style>
  <w:style w:type="character" w:styleId="Mention">
    <w:name w:val="Mention"/>
    <w:basedOn w:val="DefaultParagraphFont"/>
    <w:uiPriority w:val="99"/>
    <w:unhideWhenUsed/>
    <w:rsid w:val="00E66DCE"/>
    <w:rPr>
      <w:color w:val="2B579A"/>
      <w:shd w:val="clear" w:color="auto" w:fill="E1DFDD"/>
    </w:rPr>
  </w:style>
  <w:style w:type="paragraph" w:styleId="TOC1">
    <w:name w:val="toc 1"/>
    <w:basedOn w:val="Normal"/>
    <w:next w:val="Normal"/>
    <w:autoRedefine/>
    <w:uiPriority w:val="39"/>
    <w:unhideWhenUsed/>
    <w:rsid w:val="008133D0"/>
    <w:pPr>
      <w:tabs>
        <w:tab w:val="left" w:pos="960"/>
        <w:tab w:val="right" w:leader="dot" w:pos="9350"/>
      </w:tabs>
      <w:spacing w:after="100"/>
    </w:pPr>
  </w:style>
  <w:style w:type="character" w:customStyle="1" w:styleId="cf01">
    <w:name w:val="cf01"/>
    <w:basedOn w:val="DefaultParagraphFont"/>
    <w:rsid w:val="00E66DCE"/>
    <w:rPr>
      <w:rFonts w:ascii="Segoe UI" w:hAnsi="Segoe UI" w:cs="Segoe UI" w:hint="default"/>
      <w:b/>
      <w:bCs/>
      <w:sz w:val="18"/>
      <w:szCs w:val="18"/>
    </w:rPr>
  </w:style>
  <w:style w:type="character" w:customStyle="1" w:styleId="cf11">
    <w:name w:val="cf11"/>
    <w:basedOn w:val="DefaultParagraphFont"/>
    <w:rsid w:val="00E66DCE"/>
    <w:rPr>
      <w:rFonts w:ascii="Segoe UI" w:hAnsi="Segoe UI" w:cs="Segoe UI" w:hint="default"/>
      <w:sz w:val="18"/>
      <w:szCs w:val="18"/>
    </w:rPr>
  </w:style>
  <w:style w:type="paragraph" w:customStyle="1" w:styleId="pf0">
    <w:name w:val="pf0"/>
    <w:basedOn w:val="Normal"/>
    <w:rsid w:val="00E66DCE"/>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59"/>
    <w:rsid w:val="00E66DCE"/>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66DCE"/>
  </w:style>
  <w:style w:type="paragraph" w:customStyle="1" w:styleId="Normal1">
    <w:name w:val="Normal1"/>
    <w:rsid w:val="00E66DCE"/>
    <w:pPr>
      <w:widowControl w:val="0"/>
    </w:pPr>
    <w:rPr>
      <w:rFonts w:ascii="Calibri" w:eastAsia="Calibri" w:hAnsi="Calibri" w:cs="Calibri"/>
      <w:kern w:val="0"/>
      <w:sz w:val="22"/>
      <w:szCs w:val="22"/>
      <w14:ligatures w14:val="none"/>
    </w:rPr>
  </w:style>
  <w:style w:type="paragraph" w:styleId="TOC2">
    <w:name w:val="toc 2"/>
    <w:basedOn w:val="Normal"/>
    <w:next w:val="Normal"/>
    <w:autoRedefine/>
    <w:uiPriority w:val="39"/>
    <w:unhideWhenUsed/>
    <w:rsid w:val="00F41D5D"/>
    <w:pPr>
      <w:tabs>
        <w:tab w:val="left" w:pos="960"/>
        <w:tab w:val="right" w:leader="dot" w:pos="9350"/>
      </w:tabs>
      <w:spacing w:after="100"/>
    </w:pPr>
  </w:style>
  <w:style w:type="paragraph" w:styleId="TOC3">
    <w:name w:val="toc 3"/>
    <w:basedOn w:val="Normal"/>
    <w:next w:val="Normal"/>
    <w:autoRedefine/>
    <w:uiPriority w:val="39"/>
    <w:unhideWhenUsed/>
    <w:rsid w:val="002F59FA"/>
    <w:pPr>
      <w:tabs>
        <w:tab w:val="left" w:pos="880"/>
        <w:tab w:val="right" w:leader="dot" w:pos="9350"/>
      </w:tabs>
      <w:spacing w:after="100"/>
      <w:ind w:left="900"/>
    </w:pPr>
    <w:rPr>
      <w:rFonts w:asciiTheme="majorBidi" w:eastAsia="Times New Roman" w:hAnsiTheme="majorBidi" w:cstheme="majorBidi"/>
      <w:iCs/>
      <w:noProof/>
      <w:color w:val="000000" w:themeColor="text1"/>
    </w:rPr>
  </w:style>
  <w:style w:type="paragraph" w:styleId="TOC4">
    <w:name w:val="toc 4"/>
    <w:basedOn w:val="Normal"/>
    <w:next w:val="Normal"/>
    <w:autoRedefine/>
    <w:uiPriority w:val="39"/>
    <w:unhideWhenUsed/>
    <w:rsid w:val="008133D0"/>
    <w:pPr>
      <w:tabs>
        <w:tab w:val="left" w:pos="1320"/>
        <w:tab w:val="right" w:leader="dot" w:pos="9350"/>
      </w:tabs>
      <w:spacing w:after="100"/>
      <w:ind w:left="900"/>
    </w:pPr>
  </w:style>
  <w:style w:type="paragraph" w:customStyle="1" w:styleId="paragraph">
    <w:name w:val="paragraph"/>
    <w:basedOn w:val="Normal"/>
    <w:rsid w:val="00E66DC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66DCE"/>
  </w:style>
  <w:style w:type="character" w:customStyle="1" w:styleId="eop">
    <w:name w:val="eop"/>
    <w:basedOn w:val="DefaultParagraphFont"/>
    <w:rsid w:val="00E66DCE"/>
  </w:style>
  <w:style w:type="character" w:customStyle="1" w:styleId="ui-provider">
    <w:name w:val="ui-provider"/>
    <w:basedOn w:val="DefaultParagraphFont"/>
    <w:rsid w:val="00E66DCE"/>
  </w:style>
  <w:style w:type="table" w:styleId="PlainTable1">
    <w:name w:val="Plain Table 1"/>
    <w:basedOn w:val="TableNormal"/>
    <w:uiPriority w:val="41"/>
    <w:rsid w:val="00E66DCE"/>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4957">
      <w:bodyDiv w:val="1"/>
      <w:marLeft w:val="0"/>
      <w:marRight w:val="0"/>
      <w:marTop w:val="0"/>
      <w:marBottom w:val="0"/>
      <w:divBdr>
        <w:top w:val="none" w:sz="0" w:space="0" w:color="auto"/>
        <w:left w:val="none" w:sz="0" w:space="0" w:color="auto"/>
        <w:bottom w:val="none" w:sz="0" w:space="0" w:color="auto"/>
        <w:right w:val="none" w:sz="0" w:space="0" w:color="auto"/>
      </w:divBdr>
    </w:div>
    <w:div w:id="161549101">
      <w:bodyDiv w:val="1"/>
      <w:marLeft w:val="0"/>
      <w:marRight w:val="0"/>
      <w:marTop w:val="0"/>
      <w:marBottom w:val="0"/>
      <w:divBdr>
        <w:top w:val="none" w:sz="0" w:space="0" w:color="auto"/>
        <w:left w:val="none" w:sz="0" w:space="0" w:color="auto"/>
        <w:bottom w:val="none" w:sz="0" w:space="0" w:color="auto"/>
        <w:right w:val="none" w:sz="0" w:space="0" w:color="auto"/>
      </w:divBdr>
    </w:div>
    <w:div w:id="381949972">
      <w:bodyDiv w:val="1"/>
      <w:marLeft w:val="0"/>
      <w:marRight w:val="0"/>
      <w:marTop w:val="0"/>
      <w:marBottom w:val="0"/>
      <w:divBdr>
        <w:top w:val="none" w:sz="0" w:space="0" w:color="auto"/>
        <w:left w:val="none" w:sz="0" w:space="0" w:color="auto"/>
        <w:bottom w:val="none" w:sz="0" w:space="0" w:color="auto"/>
        <w:right w:val="none" w:sz="0" w:space="0" w:color="auto"/>
      </w:divBdr>
    </w:div>
    <w:div w:id="646515293">
      <w:bodyDiv w:val="1"/>
      <w:marLeft w:val="0"/>
      <w:marRight w:val="0"/>
      <w:marTop w:val="0"/>
      <w:marBottom w:val="0"/>
      <w:divBdr>
        <w:top w:val="none" w:sz="0" w:space="0" w:color="auto"/>
        <w:left w:val="none" w:sz="0" w:space="0" w:color="auto"/>
        <w:bottom w:val="none" w:sz="0" w:space="0" w:color="auto"/>
        <w:right w:val="none" w:sz="0" w:space="0" w:color="auto"/>
      </w:divBdr>
    </w:div>
    <w:div w:id="732237860">
      <w:bodyDiv w:val="1"/>
      <w:marLeft w:val="0"/>
      <w:marRight w:val="0"/>
      <w:marTop w:val="0"/>
      <w:marBottom w:val="0"/>
      <w:divBdr>
        <w:top w:val="none" w:sz="0" w:space="0" w:color="auto"/>
        <w:left w:val="none" w:sz="0" w:space="0" w:color="auto"/>
        <w:bottom w:val="none" w:sz="0" w:space="0" w:color="auto"/>
        <w:right w:val="none" w:sz="0" w:space="0" w:color="auto"/>
      </w:divBdr>
    </w:div>
    <w:div w:id="750545527">
      <w:bodyDiv w:val="1"/>
      <w:marLeft w:val="0"/>
      <w:marRight w:val="0"/>
      <w:marTop w:val="0"/>
      <w:marBottom w:val="0"/>
      <w:divBdr>
        <w:top w:val="none" w:sz="0" w:space="0" w:color="auto"/>
        <w:left w:val="none" w:sz="0" w:space="0" w:color="auto"/>
        <w:bottom w:val="none" w:sz="0" w:space="0" w:color="auto"/>
        <w:right w:val="none" w:sz="0" w:space="0" w:color="auto"/>
      </w:divBdr>
    </w:div>
    <w:div w:id="846751630">
      <w:bodyDiv w:val="1"/>
      <w:marLeft w:val="0"/>
      <w:marRight w:val="0"/>
      <w:marTop w:val="0"/>
      <w:marBottom w:val="0"/>
      <w:divBdr>
        <w:top w:val="none" w:sz="0" w:space="0" w:color="auto"/>
        <w:left w:val="none" w:sz="0" w:space="0" w:color="auto"/>
        <w:bottom w:val="none" w:sz="0" w:space="0" w:color="auto"/>
        <w:right w:val="none" w:sz="0" w:space="0" w:color="auto"/>
      </w:divBdr>
    </w:div>
    <w:div w:id="921333016">
      <w:bodyDiv w:val="1"/>
      <w:marLeft w:val="0"/>
      <w:marRight w:val="0"/>
      <w:marTop w:val="0"/>
      <w:marBottom w:val="0"/>
      <w:divBdr>
        <w:top w:val="none" w:sz="0" w:space="0" w:color="auto"/>
        <w:left w:val="none" w:sz="0" w:space="0" w:color="auto"/>
        <w:bottom w:val="none" w:sz="0" w:space="0" w:color="auto"/>
        <w:right w:val="none" w:sz="0" w:space="0" w:color="auto"/>
      </w:divBdr>
    </w:div>
    <w:div w:id="932933553">
      <w:bodyDiv w:val="1"/>
      <w:marLeft w:val="0"/>
      <w:marRight w:val="0"/>
      <w:marTop w:val="0"/>
      <w:marBottom w:val="0"/>
      <w:divBdr>
        <w:top w:val="none" w:sz="0" w:space="0" w:color="auto"/>
        <w:left w:val="none" w:sz="0" w:space="0" w:color="auto"/>
        <w:bottom w:val="none" w:sz="0" w:space="0" w:color="auto"/>
        <w:right w:val="none" w:sz="0" w:space="0" w:color="auto"/>
      </w:divBdr>
    </w:div>
    <w:div w:id="987782338">
      <w:bodyDiv w:val="1"/>
      <w:marLeft w:val="0"/>
      <w:marRight w:val="0"/>
      <w:marTop w:val="0"/>
      <w:marBottom w:val="0"/>
      <w:divBdr>
        <w:top w:val="none" w:sz="0" w:space="0" w:color="auto"/>
        <w:left w:val="none" w:sz="0" w:space="0" w:color="auto"/>
        <w:bottom w:val="none" w:sz="0" w:space="0" w:color="auto"/>
        <w:right w:val="none" w:sz="0" w:space="0" w:color="auto"/>
      </w:divBdr>
    </w:div>
    <w:div w:id="1194342261">
      <w:bodyDiv w:val="1"/>
      <w:marLeft w:val="0"/>
      <w:marRight w:val="0"/>
      <w:marTop w:val="0"/>
      <w:marBottom w:val="0"/>
      <w:divBdr>
        <w:top w:val="none" w:sz="0" w:space="0" w:color="auto"/>
        <w:left w:val="none" w:sz="0" w:space="0" w:color="auto"/>
        <w:bottom w:val="none" w:sz="0" w:space="0" w:color="auto"/>
        <w:right w:val="none" w:sz="0" w:space="0" w:color="auto"/>
      </w:divBdr>
    </w:div>
    <w:div w:id="1238631434">
      <w:bodyDiv w:val="1"/>
      <w:marLeft w:val="0"/>
      <w:marRight w:val="0"/>
      <w:marTop w:val="0"/>
      <w:marBottom w:val="0"/>
      <w:divBdr>
        <w:top w:val="none" w:sz="0" w:space="0" w:color="auto"/>
        <w:left w:val="none" w:sz="0" w:space="0" w:color="auto"/>
        <w:bottom w:val="none" w:sz="0" w:space="0" w:color="auto"/>
        <w:right w:val="none" w:sz="0" w:space="0" w:color="auto"/>
      </w:divBdr>
    </w:div>
    <w:div w:id="1355303301">
      <w:bodyDiv w:val="1"/>
      <w:marLeft w:val="0"/>
      <w:marRight w:val="0"/>
      <w:marTop w:val="0"/>
      <w:marBottom w:val="0"/>
      <w:divBdr>
        <w:top w:val="none" w:sz="0" w:space="0" w:color="auto"/>
        <w:left w:val="none" w:sz="0" w:space="0" w:color="auto"/>
        <w:bottom w:val="none" w:sz="0" w:space="0" w:color="auto"/>
        <w:right w:val="none" w:sz="0" w:space="0" w:color="auto"/>
      </w:divBdr>
      <w:divsChild>
        <w:div w:id="1183786245">
          <w:marLeft w:val="0"/>
          <w:marRight w:val="0"/>
          <w:marTop w:val="0"/>
          <w:marBottom w:val="0"/>
          <w:divBdr>
            <w:top w:val="none" w:sz="0" w:space="0" w:color="auto"/>
            <w:left w:val="none" w:sz="0" w:space="0" w:color="auto"/>
            <w:bottom w:val="none" w:sz="0" w:space="0" w:color="auto"/>
            <w:right w:val="none" w:sz="0" w:space="0" w:color="auto"/>
          </w:divBdr>
          <w:divsChild>
            <w:div w:id="1604845720">
              <w:marLeft w:val="0"/>
              <w:marRight w:val="0"/>
              <w:marTop w:val="0"/>
              <w:marBottom w:val="0"/>
              <w:divBdr>
                <w:top w:val="none" w:sz="0" w:space="0" w:color="auto"/>
                <w:left w:val="none" w:sz="0" w:space="0" w:color="auto"/>
                <w:bottom w:val="none" w:sz="0" w:space="0" w:color="auto"/>
                <w:right w:val="none" w:sz="0" w:space="0" w:color="auto"/>
              </w:divBdr>
              <w:divsChild>
                <w:div w:id="10472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73152">
      <w:bodyDiv w:val="1"/>
      <w:marLeft w:val="0"/>
      <w:marRight w:val="0"/>
      <w:marTop w:val="0"/>
      <w:marBottom w:val="0"/>
      <w:divBdr>
        <w:top w:val="none" w:sz="0" w:space="0" w:color="auto"/>
        <w:left w:val="none" w:sz="0" w:space="0" w:color="auto"/>
        <w:bottom w:val="none" w:sz="0" w:space="0" w:color="auto"/>
        <w:right w:val="none" w:sz="0" w:space="0" w:color="auto"/>
      </w:divBdr>
    </w:div>
    <w:div w:id="1450322228">
      <w:bodyDiv w:val="1"/>
      <w:marLeft w:val="0"/>
      <w:marRight w:val="0"/>
      <w:marTop w:val="0"/>
      <w:marBottom w:val="0"/>
      <w:divBdr>
        <w:top w:val="none" w:sz="0" w:space="0" w:color="auto"/>
        <w:left w:val="none" w:sz="0" w:space="0" w:color="auto"/>
        <w:bottom w:val="none" w:sz="0" w:space="0" w:color="auto"/>
        <w:right w:val="none" w:sz="0" w:space="0" w:color="auto"/>
      </w:divBdr>
    </w:div>
    <w:div w:id="1617325767">
      <w:bodyDiv w:val="1"/>
      <w:marLeft w:val="0"/>
      <w:marRight w:val="0"/>
      <w:marTop w:val="0"/>
      <w:marBottom w:val="0"/>
      <w:divBdr>
        <w:top w:val="none" w:sz="0" w:space="0" w:color="auto"/>
        <w:left w:val="none" w:sz="0" w:space="0" w:color="auto"/>
        <w:bottom w:val="none" w:sz="0" w:space="0" w:color="auto"/>
        <w:right w:val="none" w:sz="0" w:space="0" w:color="auto"/>
      </w:divBdr>
    </w:div>
    <w:div w:id="1655065301">
      <w:bodyDiv w:val="1"/>
      <w:marLeft w:val="0"/>
      <w:marRight w:val="0"/>
      <w:marTop w:val="0"/>
      <w:marBottom w:val="0"/>
      <w:divBdr>
        <w:top w:val="none" w:sz="0" w:space="0" w:color="auto"/>
        <w:left w:val="none" w:sz="0" w:space="0" w:color="auto"/>
        <w:bottom w:val="none" w:sz="0" w:space="0" w:color="auto"/>
        <w:right w:val="none" w:sz="0" w:space="0" w:color="auto"/>
      </w:divBdr>
    </w:div>
    <w:div w:id="1660882671">
      <w:bodyDiv w:val="1"/>
      <w:marLeft w:val="0"/>
      <w:marRight w:val="0"/>
      <w:marTop w:val="0"/>
      <w:marBottom w:val="0"/>
      <w:divBdr>
        <w:top w:val="none" w:sz="0" w:space="0" w:color="auto"/>
        <w:left w:val="none" w:sz="0" w:space="0" w:color="auto"/>
        <w:bottom w:val="none" w:sz="0" w:space="0" w:color="auto"/>
        <w:right w:val="none" w:sz="0" w:space="0" w:color="auto"/>
      </w:divBdr>
    </w:div>
    <w:div w:id="1786651925">
      <w:bodyDiv w:val="1"/>
      <w:marLeft w:val="0"/>
      <w:marRight w:val="0"/>
      <w:marTop w:val="0"/>
      <w:marBottom w:val="0"/>
      <w:divBdr>
        <w:top w:val="none" w:sz="0" w:space="0" w:color="auto"/>
        <w:left w:val="none" w:sz="0" w:space="0" w:color="auto"/>
        <w:bottom w:val="none" w:sz="0" w:space="0" w:color="auto"/>
        <w:right w:val="none" w:sz="0" w:space="0" w:color="auto"/>
      </w:divBdr>
    </w:div>
    <w:div w:id="1920364516">
      <w:bodyDiv w:val="1"/>
      <w:marLeft w:val="0"/>
      <w:marRight w:val="0"/>
      <w:marTop w:val="0"/>
      <w:marBottom w:val="0"/>
      <w:divBdr>
        <w:top w:val="none" w:sz="0" w:space="0" w:color="auto"/>
        <w:left w:val="none" w:sz="0" w:space="0" w:color="auto"/>
        <w:bottom w:val="none" w:sz="0" w:space="0" w:color="auto"/>
        <w:right w:val="none" w:sz="0" w:space="0" w:color="auto"/>
      </w:divBdr>
    </w:div>
    <w:div w:id="1948536258">
      <w:bodyDiv w:val="1"/>
      <w:marLeft w:val="0"/>
      <w:marRight w:val="0"/>
      <w:marTop w:val="0"/>
      <w:marBottom w:val="0"/>
      <w:divBdr>
        <w:top w:val="none" w:sz="0" w:space="0" w:color="auto"/>
        <w:left w:val="none" w:sz="0" w:space="0" w:color="auto"/>
        <w:bottom w:val="none" w:sz="0" w:space="0" w:color="auto"/>
        <w:right w:val="none" w:sz="0" w:space="0" w:color="auto"/>
      </w:divBdr>
    </w:div>
    <w:div w:id="1955094984">
      <w:bodyDiv w:val="1"/>
      <w:marLeft w:val="0"/>
      <w:marRight w:val="0"/>
      <w:marTop w:val="0"/>
      <w:marBottom w:val="0"/>
      <w:divBdr>
        <w:top w:val="none" w:sz="0" w:space="0" w:color="auto"/>
        <w:left w:val="none" w:sz="0" w:space="0" w:color="auto"/>
        <w:bottom w:val="none" w:sz="0" w:space="0" w:color="auto"/>
        <w:right w:val="none" w:sz="0" w:space="0" w:color="auto"/>
      </w:divBdr>
    </w:div>
    <w:div w:id="2017615223">
      <w:bodyDiv w:val="1"/>
      <w:marLeft w:val="0"/>
      <w:marRight w:val="0"/>
      <w:marTop w:val="0"/>
      <w:marBottom w:val="0"/>
      <w:divBdr>
        <w:top w:val="none" w:sz="0" w:space="0" w:color="auto"/>
        <w:left w:val="none" w:sz="0" w:space="0" w:color="auto"/>
        <w:bottom w:val="none" w:sz="0" w:space="0" w:color="auto"/>
        <w:right w:val="none" w:sz="0" w:space="0" w:color="auto"/>
      </w:divBdr>
    </w:div>
    <w:div w:id="2065521577">
      <w:bodyDiv w:val="1"/>
      <w:marLeft w:val="0"/>
      <w:marRight w:val="0"/>
      <w:marTop w:val="0"/>
      <w:marBottom w:val="0"/>
      <w:divBdr>
        <w:top w:val="none" w:sz="0" w:space="0" w:color="auto"/>
        <w:left w:val="none" w:sz="0" w:space="0" w:color="auto"/>
        <w:bottom w:val="none" w:sz="0" w:space="0" w:color="auto"/>
        <w:right w:val="none" w:sz="0" w:space="0" w:color="auto"/>
      </w:divBdr>
    </w:div>
    <w:div w:id="2090151511">
      <w:bodyDiv w:val="1"/>
      <w:marLeft w:val="0"/>
      <w:marRight w:val="0"/>
      <w:marTop w:val="0"/>
      <w:marBottom w:val="0"/>
      <w:divBdr>
        <w:top w:val="none" w:sz="0" w:space="0" w:color="auto"/>
        <w:left w:val="none" w:sz="0" w:space="0" w:color="auto"/>
        <w:bottom w:val="none" w:sz="0" w:space="0" w:color="auto"/>
        <w:right w:val="none" w:sz="0" w:space="0" w:color="auto"/>
      </w:divBdr>
    </w:div>
    <w:div w:id="209022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4DA1E-6C60-D349-BEBC-14288E5E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Nasar Hanan</dc:creator>
  <cp:keywords/>
  <dc:description/>
  <cp:lastModifiedBy>Jim Plappert</cp:lastModifiedBy>
  <cp:revision>2</cp:revision>
  <cp:lastPrinted>2024-09-06T18:34:00Z</cp:lastPrinted>
  <dcterms:created xsi:type="dcterms:W3CDTF">2024-09-06T18:51:00Z</dcterms:created>
  <dcterms:modified xsi:type="dcterms:W3CDTF">2024-09-06T18:51:00Z</dcterms:modified>
</cp:coreProperties>
</file>